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C39960" w14:textId="77777777" w:rsidR="003063FF" w:rsidRDefault="00000000">
      <w:pPr>
        <w:jc w:val="center"/>
        <w:rPr>
          <w:rFonts w:ascii="Garamond" w:eastAsia="Garamond" w:hAnsi="Garamond" w:cs="Garamond"/>
          <w:b/>
          <w:sz w:val="24"/>
          <w:szCs w:val="24"/>
        </w:rPr>
      </w:pPr>
      <w:r>
        <w:rPr>
          <w:rFonts w:ascii="Garamond" w:eastAsia="Garamond" w:hAnsi="Garamond" w:cs="Garamond"/>
          <w:b/>
          <w:noProof/>
          <w:sz w:val="24"/>
          <w:szCs w:val="24"/>
        </w:rPr>
        <w:drawing>
          <wp:inline distT="0" distB="0" distL="0" distR="0" wp14:anchorId="188D7B4B" wp14:editId="06BFB77A">
            <wp:extent cx="283857" cy="304133"/>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283857" cy="304133"/>
                    </a:xfrm>
                    <a:prstGeom prst="rect">
                      <a:avLst/>
                    </a:prstGeom>
                    <a:ln/>
                  </pic:spPr>
                </pic:pic>
              </a:graphicData>
            </a:graphic>
          </wp:inline>
        </w:drawing>
      </w:r>
    </w:p>
    <w:p w14:paraId="11DFEB1E" w14:textId="77777777" w:rsidR="003063FF" w:rsidRDefault="00000000">
      <w:pPr>
        <w:spacing w:line="189" w:lineRule="auto"/>
        <w:ind w:left="2"/>
        <w:jc w:val="center"/>
        <w:rPr>
          <w:rFonts w:ascii="Garamond" w:eastAsia="Garamond" w:hAnsi="Garamond" w:cs="Garamond"/>
          <w:b/>
          <w:sz w:val="24"/>
          <w:szCs w:val="24"/>
        </w:rPr>
      </w:pPr>
      <w:r>
        <w:rPr>
          <w:rFonts w:ascii="Garamond" w:eastAsia="Garamond" w:hAnsi="Garamond" w:cs="Garamond"/>
          <w:b/>
          <w:sz w:val="24"/>
          <w:szCs w:val="24"/>
        </w:rPr>
        <w:t>ISTITUTO STATALE DI ISTRUZIONE SUPERIORE MAGRINI MARCHETTI</w:t>
      </w:r>
    </w:p>
    <w:p w14:paraId="564B9F4F" w14:textId="77777777" w:rsidR="003063FF" w:rsidRDefault="00000000">
      <w:pPr>
        <w:spacing w:line="282" w:lineRule="auto"/>
        <w:ind w:left="1467"/>
        <w:jc w:val="center"/>
        <w:rPr>
          <w:rFonts w:ascii="Garamond" w:eastAsia="Garamond" w:hAnsi="Garamond" w:cs="Garamond"/>
          <w:b/>
          <w:sz w:val="24"/>
          <w:szCs w:val="24"/>
        </w:rPr>
      </w:pPr>
      <w:r>
        <w:rPr>
          <w:rFonts w:ascii="Garamond" w:eastAsia="Garamond" w:hAnsi="Garamond" w:cs="Garamond"/>
          <w:b/>
          <w:sz w:val="24"/>
          <w:szCs w:val="24"/>
        </w:rPr>
        <w:t>Liceo Scientifico Istituto Tecnico settori Economico e Tecnologico</w:t>
      </w:r>
    </w:p>
    <w:p w14:paraId="2E2B897E" w14:textId="77777777" w:rsidR="003063FF" w:rsidRDefault="00000000">
      <w:pPr>
        <w:tabs>
          <w:tab w:val="left" w:pos="5856"/>
          <w:tab w:val="left" w:pos="8512"/>
        </w:tabs>
        <w:spacing w:line="267" w:lineRule="auto"/>
        <w:ind w:left="12"/>
        <w:jc w:val="center"/>
        <w:rPr>
          <w:rFonts w:ascii="Garamond" w:eastAsia="Garamond" w:hAnsi="Garamond" w:cs="Garamond"/>
          <w:b/>
          <w:sz w:val="24"/>
          <w:szCs w:val="24"/>
        </w:rPr>
      </w:pPr>
      <w:r>
        <w:rPr>
          <w:rFonts w:ascii="Garamond" w:eastAsia="Garamond" w:hAnsi="Garamond" w:cs="Garamond"/>
          <w:b/>
          <w:sz w:val="24"/>
          <w:szCs w:val="24"/>
        </w:rPr>
        <w:t>33013 GEMONA DEL FRIULI (</w:t>
      </w:r>
      <w:proofErr w:type="gramStart"/>
      <w:r>
        <w:rPr>
          <w:rFonts w:ascii="Garamond" w:eastAsia="Garamond" w:hAnsi="Garamond" w:cs="Garamond"/>
          <w:b/>
          <w:sz w:val="24"/>
          <w:szCs w:val="24"/>
        </w:rPr>
        <w:t>UD)  via</w:t>
      </w:r>
      <w:proofErr w:type="gramEnd"/>
      <w:r>
        <w:rPr>
          <w:rFonts w:ascii="Garamond" w:eastAsia="Garamond" w:hAnsi="Garamond" w:cs="Garamond"/>
          <w:b/>
          <w:sz w:val="24"/>
          <w:szCs w:val="24"/>
        </w:rPr>
        <w:t xml:space="preserve"> </w:t>
      </w:r>
      <w:proofErr w:type="spellStart"/>
      <w:r>
        <w:rPr>
          <w:rFonts w:ascii="Garamond" w:eastAsia="Garamond" w:hAnsi="Garamond" w:cs="Garamond"/>
          <w:b/>
          <w:sz w:val="24"/>
          <w:szCs w:val="24"/>
        </w:rPr>
        <w:t>Praviolai</w:t>
      </w:r>
      <w:proofErr w:type="spellEnd"/>
      <w:r>
        <w:rPr>
          <w:rFonts w:ascii="Garamond" w:eastAsia="Garamond" w:hAnsi="Garamond" w:cs="Garamond"/>
          <w:b/>
          <w:sz w:val="24"/>
          <w:szCs w:val="24"/>
        </w:rPr>
        <w:t>, 18</w:t>
      </w:r>
      <w:r>
        <w:rPr>
          <w:rFonts w:ascii="Garamond" w:eastAsia="Garamond" w:hAnsi="Garamond" w:cs="Garamond"/>
          <w:b/>
          <w:sz w:val="24"/>
          <w:szCs w:val="24"/>
        </w:rPr>
        <w:tab/>
        <w:t>tel. 0432/981436-981632</w:t>
      </w:r>
      <w:r>
        <w:rPr>
          <w:rFonts w:ascii="Garamond" w:eastAsia="Garamond" w:hAnsi="Garamond" w:cs="Garamond"/>
          <w:b/>
          <w:sz w:val="24"/>
          <w:szCs w:val="24"/>
        </w:rPr>
        <w:tab/>
        <w:t>fax</w:t>
      </w:r>
    </w:p>
    <w:p w14:paraId="574680E9" w14:textId="77777777" w:rsidR="003063FF" w:rsidRDefault="00000000">
      <w:pPr>
        <w:spacing w:line="270" w:lineRule="auto"/>
        <w:ind w:left="11"/>
        <w:jc w:val="center"/>
        <w:rPr>
          <w:rFonts w:ascii="Garamond" w:eastAsia="Garamond" w:hAnsi="Garamond" w:cs="Garamond"/>
          <w:b/>
          <w:sz w:val="24"/>
          <w:szCs w:val="24"/>
        </w:rPr>
      </w:pPr>
      <w:r>
        <w:rPr>
          <w:rFonts w:ascii="Garamond" w:eastAsia="Garamond" w:hAnsi="Garamond" w:cs="Garamond"/>
          <w:b/>
          <w:sz w:val="24"/>
          <w:szCs w:val="24"/>
        </w:rPr>
        <w:t>0432/970373</w:t>
      </w:r>
    </w:p>
    <w:p w14:paraId="46CC5831" w14:textId="77777777" w:rsidR="003063FF" w:rsidRDefault="00000000">
      <w:pPr>
        <w:tabs>
          <w:tab w:val="left" w:pos="4032"/>
          <w:tab w:val="left" w:pos="4439"/>
          <w:tab w:val="left" w:pos="6876"/>
        </w:tabs>
        <w:spacing w:before="75" w:line="117" w:lineRule="auto"/>
        <w:ind w:left="849" w:right="835"/>
        <w:jc w:val="center"/>
        <w:rPr>
          <w:rFonts w:ascii="Garamond" w:eastAsia="Garamond" w:hAnsi="Garamond" w:cs="Garamond"/>
          <w:b/>
          <w:sz w:val="24"/>
          <w:szCs w:val="24"/>
        </w:rPr>
      </w:pPr>
      <w:r>
        <w:rPr>
          <w:rFonts w:ascii="Garamond" w:eastAsia="Garamond" w:hAnsi="Garamond" w:cs="Garamond"/>
          <w:b/>
          <w:sz w:val="24"/>
          <w:szCs w:val="24"/>
        </w:rPr>
        <w:t>codice scuola UDIS01800D</w:t>
      </w:r>
      <w:r>
        <w:rPr>
          <w:rFonts w:ascii="Garamond" w:eastAsia="Garamond" w:hAnsi="Garamond" w:cs="Garamond"/>
          <w:b/>
          <w:sz w:val="24"/>
          <w:szCs w:val="24"/>
        </w:rPr>
        <w:tab/>
      </w:r>
      <w:r>
        <w:rPr>
          <w:rFonts w:ascii="Garamond" w:eastAsia="Garamond" w:hAnsi="Garamond" w:cs="Garamond"/>
          <w:b/>
          <w:sz w:val="24"/>
          <w:szCs w:val="24"/>
        </w:rPr>
        <w:tab/>
        <w:t xml:space="preserve">codice fiscale 94134560302 </w:t>
      </w:r>
      <w:hyperlink r:id="rId7">
        <w:r>
          <w:rPr>
            <w:rFonts w:ascii="Garamond" w:eastAsia="Garamond" w:hAnsi="Garamond" w:cs="Garamond"/>
            <w:b/>
            <w:color w:val="0000FF"/>
            <w:sz w:val="24"/>
            <w:szCs w:val="24"/>
            <w:u w:val="single"/>
          </w:rPr>
          <w:t>www.isismagrinimarchetti.i</w:t>
        </w:r>
      </w:hyperlink>
      <w:r>
        <w:rPr>
          <w:rFonts w:ascii="Garamond" w:eastAsia="Garamond" w:hAnsi="Garamond" w:cs="Garamond"/>
          <w:b/>
          <w:color w:val="0000FF"/>
          <w:sz w:val="24"/>
          <w:szCs w:val="24"/>
          <w:u w:val="single"/>
        </w:rPr>
        <w:t>t</w:t>
      </w:r>
      <w:r>
        <w:rPr>
          <w:rFonts w:ascii="Garamond" w:eastAsia="Garamond" w:hAnsi="Garamond" w:cs="Garamond"/>
          <w:b/>
          <w:color w:val="0000FF"/>
          <w:sz w:val="24"/>
          <w:szCs w:val="24"/>
          <w:u w:val="single"/>
        </w:rPr>
        <w:tab/>
      </w:r>
      <w:hyperlink r:id="rId8">
        <w:r>
          <w:rPr>
            <w:rFonts w:ascii="Garamond" w:eastAsia="Garamond" w:hAnsi="Garamond" w:cs="Garamond"/>
            <w:b/>
            <w:color w:val="0000FF"/>
            <w:sz w:val="24"/>
            <w:szCs w:val="24"/>
            <w:u w:val="single"/>
          </w:rPr>
          <w:t>udis01800d@istruzione.i</w:t>
        </w:r>
      </w:hyperlink>
      <w:r>
        <w:rPr>
          <w:rFonts w:ascii="Garamond" w:eastAsia="Garamond" w:hAnsi="Garamond" w:cs="Garamond"/>
          <w:b/>
          <w:color w:val="0000FF"/>
          <w:sz w:val="24"/>
          <w:szCs w:val="24"/>
          <w:u w:val="single"/>
        </w:rPr>
        <w:t>t</w:t>
      </w:r>
      <w:r>
        <w:rPr>
          <w:rFonts w:ascii="Garamond" w:eastAsia="Garamond" w:hAnsi="Garamond" w:cs="Garamond"/>
          <w:b/>
          <w:color w:val="0000FF"/>
          <w:sz w:val="24"/>
          <w:szCs w:val="24"/>
          <w:u w:val="single"/>
        </w:rPr>
        <w:tab/>
      </w:r>
      <w:hyperlink r:id="rId9">
        <w:r>
          <w:rPr>
            <w:rFonts w:ascii="Garamond" w:eastAsia="Garamond" w:hAnsi="Garamond" w:cs="Garamond"/>
            <w:b/>
            <w:color w:val="0000FF"/>
            <w:sz w:val="24"/>
            <w:szCs w:val="24"/>
            <w:u w:val="single"/>
          </w:rPr>
          <w:t>udis01800d@pec.istruzione.it</w:t>
        </w:r>
      </w:hyperlink>
    </w:p>
    <w:p w14:paraId="286018B5" w14:textId="77777777" w:rsidR="003063FF" w:rsidRDefault="003063FF">
      <w:pPr>
        <w:widowControl w:val="0"/>
        <w:pBdr>
          <w:top w:val="nil"/>
          <w:left w:val="nil"/>
          <w:bottom w:val="nil"/>
          <w:right w:val="nil"/>
          <w:between w:val="nil"/>
        </w:pBdr>
        <w:spacing w:after="0" w:line="240" w:lineRule="auto"/>
        <w:jc w:val="center"/>
        <w:rPr>
          <w:rFonts w:ascii="Garamond" w:eastAsia="Garamond" w:hAnsi="Garamond" w:cs="Garamond"/>
          <w:b/>
          <w:color w:val="000000"/>
          <w:sz w:val="24"/>
          <w:szCs w:val="24"/>
        </w:rPr>
      </w:pPr>
    </w:p>
    <w:p w14:paraId="09A0A77B" w14:textId="77777777" w:rsidR="003063FF" w:rsidRDefault="003063FF">
      <w:pPr>
        <w:widowControl w:val="0"/>
        <w:pBdr>
          <w:top w:val="nil"/>
          <w:left w:val="nil"/>
          <w:bottom w:val="nil"/>
          <w:right w:val="nil"/>
          <w:between w:val="nil"/>
        </w:pBdr>
        <w:spacing w:after="0" w:line="240" w:lineRule="auto"/>
        <w:rPr>
          <w:rFonts w:ascii="Garamond" w:eastAsia="Garamond" w:hAnsi="Garamond" w:cs="Garamond"/>
          <w:b/>
          <w:color w:val="000000"/>
          <w:sz w:val="20"/>
          <w:szCs w:val="20"/>
        </w:rPr>
      </w:pPr>
    </w:p>
    <w:p w14:paraId="7345D759" w14:textId="77777777" w:rsidR="003063FF" w:rsidRDefault="003063FF">
      <w:pPr>
        <w:widowControl w:val="0"/>
        <w:pBdr>
          <w:top w:val="nil"/>
          <w:left w:val="nil"/>
          <w:bottom w:val="nil"/>
          <w:right w:val="nil"/>
          <w:between w:val="nil"/>
        </w:pBdr>
        <w:spacing w:after="0" w:line="240" w:lineRule="auto"/>
        <w:rPr>
          <w:rFonts w:ascii="Garamond" w:eastAsia="Garamond" w:hAnsi="Garamond" w:cs="Garamond"/>
          <w:b/>
          <w:color w:val="000000"/>
          <w:sz w:val="20"/>
          <w:szCs w:val="20"/>
        </w:rPr>
      </w:pPr>
    </w:p>
    <w:p w14:paraId="59635DFA" w14:textId="77777777" w:rsidR="003063FF" w:rsidRDefault="003063FF">
      <w:pPr>
        <w:widowControl w:val="0"/>
        <w:pBdr>
          <w:top w:val="nil"/>
          <w:left w:val="nil"/>
          <w:bottom w:val="nil"/>
          <w:right w:val="nil"/>
          <w:between w:val="nil"/>
        </w:pBdr>
        <w:spacing w:before="11" w:after="0" w:line="240" w:lineRule="auto"/>
        <w:rPr>
          <w:rFonts w:ascii="Garamond" w:eastAsia="Garamond" w:hAnsi="Garamond" w:cs="Garamond"/>
          <w:b/>
          <w:color w:val="000000"/>
          <w:sz w:val="16"/>
          <w:szCs w:val="16"/>
        </w:rPr>
      </w:pPr>
    </w:p>
    <w:p w14:paraId="54192858" w14:textId="77777777" w:rsidR="003063FF" w:rsidRDefault="00000000">
      <w:pPr>
        <w:spacing w:line="651" w:lineRule="auto"/>
        <w:ind w:left="138"/>
        <w:jc w:val="center"/>
        <w:rPr>
          <w:rFonts w:ascii="Garamond" w:eastAsia="Garamond" w:hAnsi="Garamond" w:cs="Garamond"/>
          <w:sz w:val="40"/>
          <w:szCs w:val="40"/>
        </w:rPr>
      </w:pPr>
      <w:r>
        <w:rPr>
          <w:rFonts w:ascii="Garamond" w:eastAsia="Garamond" w:hAnsi="Garamond" w:cs="Garamond"/>
          <w:sz w:val="40"/>
          <w:szCs w:val="40"/>
        </w:rPr>
        <w:t>D I P A R T I M E N T O</w:t>
      </w:r>
    </w:p>
    <w:p w14:paraId="642DA0B7" w14:textId="77777777" w:rsidR="003063FF" w:rsidRDefault="00000000">
      <w:pPr>
        <w:spacing w:line="911" w:lineRule="auto"/>
        <w:ind w:left="203"/>
        <w:jc w:val="center"/>
        <w:rPr>
          <w:rFonts w:ascii="Garamond" w:eastAsia="Garamond" w:hAnsi="Garamond" w:cs="Garamond"/>
          <w:sz w:val="40"/>
          <w:szCs w:val="40"/>
        </w:rPr>
      </w:pPr>
      <w:r>
        <w:rPr>
          <w:rFonts w:ascii="Garamond" w:eastAsia="Garamond" w:hAnsi="Garamond" w:cs="Garamond"/>
          <w:sz w:val="40"/>
          <w:szCs w:val="40"/>
        </w:rPr>
        <w:t>GIURIDICO ECONOMICO</w:t>
      </w:r>
    </w:p>
    <w:p w14:paraId="457B8A23" w14:textId="77777777" w:rsidR="003063FF" w:rsidRDefault="003063FF">
      <w:pPr>
        <w:widowControl w:val="0"/>
        <w:pBdr>
          <w:top w:val="nil"/>
          <w:left w:val="nil"/>
          <w:bottom w:val="nil"/>
          <w:right w:val="nil"/>
          <w:between w:val="nil"/>
        </w:pBdr>
        <w:spacing w:after="0" w:line="240" w:lineRule="auto"/>
        <w:rPr>
          <w:rFonts w:ascii="Garamond" w:eastAsia="Garamond" w:hAnsi="Garamond" w:cs="Garamond"/>
          <w:color w:val="000000"/>
          <w:sz w:val="44"/>
          <w:szCs w:val="44"/>
        </w:rPr>
      </w:pPr>
    </w:p>
    <w:p w14:paraId="2F6F2BA5" w14:textId="77777777" w:rsidR="003063FF" w:rsidRDefault="003063FF">
      <w:pPr>
        <w:widowControl w:val="0"/>
        <w:pBdr>
          <w:top w:val="nil"/>
          <w:left w:val="nil"/>
          <w:bottom w:val="nil"/>
          <w:right w:val="nil"/>
          <w:between w:val="nil"/>
        </w:pBdr>
        <w:spacing w:before="4" w:after="0" w:line="240" w:lineRule="auto"/>
        <w:rPr>
          <w:rFonts w:ascii="Garamond" w:eastAsia="Garamond" w:hAnsi="Garamond" w:cs="Garamond"/>
          <w:color w:val="000000"/>
          <w:sz w:val="33"/>
          <w:szCs w:val="33"/>
        </w:rPr>
      </w:pPr>
    </w:p>
    <w:p w14:paraId="56EA24FE" w14:textId="77777777" w:rsidR="003063FF" w:rsidRDefault="00000000">
      <w:pPr>
        <w:ind w:left="140"/>
        <w:jc w:val="center"/>
        <w:rPr>
          <w:rFonts w:ascii="Garamond" w:eastAsia="Garamond" w:hAnsi="Garamond" w:cs="Garamond"/>
          <w:sz w:val="40"/>
          <w:szCs w:val="40"/>
        </w:rPr>
      </w:pPr>
      <w:r>
        <w:rPr>
          <w:rFonts w:ascii="Garamond" w:eastAsia="Garamond" w:hAnsi="Garamond" w:cs="Garamond"/>
          <w:sz w:val="40"/>
          <w:szCs w:val="40"/>
        </w:rPr>
        <w:t xml:space="preserve">C U R </w:t>
      </w:r>
      <w:proofErr w:type="spellStart"/>
      <w:r>
        <w:rPr>
          <w:rFonts w:ascii="Garamond" w:eastAsia="Garamond" w:hAnsi="Garamond" w:cs="Garamond"/>
          <w:sz w:val="40"/>
          <w:szCs w:val="40"/>
        </w:rPr>
        <w:t>R</w:t>
      </w:r>
      <w:proofErr w:type="spellEnd"/>
      <w:r>
        <w:rPr>
          <w:rFonts w:ascii="Garamond" w:eastAsia="Garamond" w:hAnsi="Garamond" w:cs="Garamond"/>
          <w:sz w:val="40"/>
          <w:szCs w:val="40"/>
        </w:rPr>
        <w:t xml:space="preserve"> I C O L O SECONDO BIENNIO </w:t>
      </w:r>
    </w:p>
    <w:p w14:paraId="6F9A0C1F" w14:textId="77777777" w:rsidR="003063FF" w:rsidRDefault="003063FF">
      <w:pPr>
        <w:widowControl w:val="0"/>
        <w:pBdr>
          <w:top w:val="nil"/>
          <w:left w:val="nil"/>
          <w:bottom w:val="nil"/>
          <w:right w:val="nil"/>
          <w:between w:val="nil"/>
        </w:pBdr>
        <w:spacing w:after="0" w:line="240" w:lineRule="auto"/>
        <w:rPr>
          <w:rFonts w:ascii="Garamond" w:eastAsia="Garamond" w:hAnsi="Garamond" w:cs="Garamond"/>
          <w:color w:val="000000"/>
          <w:sz w:val="44"/>
          <w:szCs w:val="44"/>
        </w:rPr>
      </w:pPr>
    </w:p>
    <w:p w14:paraId="03CFF807" w14:textId="77777777" w:rsidR="003063FF" w:rsidRDefault="003063FF">
      <w:pPr>
        <w:widowControl w:val="0"/>
        <w:pBdr>
          <w:top w:val="nil"/>
          <w:left w:val="nil"/>
          <w:bottom w:val="nil"/>
          <w:right w:val="nil"/>
          <w:between w:val="nil"/>
        </w:pBdr>
        <w:spacing w:before="16" w:after="0" w:line="240" w:lineRule="auto"/>
        <w:rPr>
          <w:rFonts w:ascii="Garamond" w:eastAsia="Garamond" w:hAnsi="Garamond" w:cs="Garamond"/>
          <w:color w:val="000000"/>
          <w:sz w:val="52"/>
          <w:szCs w:val="52"/>
        </w:rPr>
      </w:pPr>
    </w:p>
    <w:p w14:paraId="5C6AD445" w14:textId="77777777" w:rsidR="003063FF" w:rsidRDefault="00000000">
      <w:pPr>
        <w:spacing w:line="705" w:lineRule="auto"/>
        <w:ind w:left="114"/>
        <w:rPr>
          <w:rFonts w:ascii="Garamond" w:eastAsia="Garamond" w:hAnsi="Garamond" w:cs="Garamond"/>
          <w:b/>
          <w:sz w:val="40"/>
          <w:szCs w:val="40"/>
        </w:rPr>
      </w:pPr>
      <w:r>
        <w:rPr>
          <w:b/>
        </w:rPr>
        <w:t xml:space="preserve">DIRITTO ED ECONOMIA DELLO SPORT </w:t>
      </w:r>
    </w:p>
    <w:p w14:paraId="022E2B45" w14:textId="62E92F91" w:rsidR="003063FF" w:rsidRDefault="0059263B" w:rsidP="0059263B">
      <w:pPr>
        <w:widowControl w:val="0"/>
        <w:pBdr>
          <w:top w:val="nil"/>
          <w:left w:val="nil"/>
          <w:bottom w:val="nil"/>
          <w:right w:val="nil"/>
          <w:between w:val="nil"/>
        </w:pBdr>
        <w:tabs>
          <w:tab w:val="left" w:pos="834"/>
          <w:tab w:val="left" w:pos="835"/>
        </w:tabs>
        <w:spacing w:after="0" w:line="404" w:lineRule="auto"/>
        <w:rPr>
          <w:rFonts w:ascii="Garamond" w:eastAsia="Garamond" w:hAnsi="Garamond" w:cs="Garamond"/>
          <w:color w:val="000000"/>
          <w:sz w:val="36"/>
          <w:szCs w:val="36"/>
        </w:rPr>
      </w:pPr>
      <w:r>
        <w:rPr>
          <w:rFonts w:ascii="Garamond" w:eastAsia="Garamond" w:hAnsi="Garamond" w:cs="Garamond"/>
          <w:color w:val="000000"/>
          <w:sz w:val="36"/>
          <w:szCs w:val="36"/>
        </w:rPr>
        <w:t>I</w:t>
      </w:r>
      <w:r w:rsidR="00000000">
        <w:rPr>
          <w:rFonts w:ascii="Garamond" w:eastAsia="Garamond" w:hAnsi="Garamond" w:cs="Garamond"/>
          <w:color w:val="000000"/>
          <w:sz w:val="36"/>
          <w:szCs w:val="36"/>
        </w:rPr>
        <w:t>ndirizzo LICEO SCIENTIFICO</w:t>
      </w:r>
    </w:p>
    <w:p w14:paraId="403EB18F" w14:textId="77777777" w:rsidR="003063FF" w:rsidRDefault="00000000">
      <w:pPr>
        <w:widowControl w:val="0"/>
        <w:numPr>
          <w:ilvl w:val="0"/>
          <w:numId w:val="2"/>
        </w:numPr>
        <w:pBdr>
          <w:top w:val="nil"/>
          <w:left w:val="nil"/>
          <w:bottom w:val="nil"/>
          <w:right w:val="nil"/>
          <w:between w:val="nil"/>
        </w:pBdr>
        <w:tabs>
          <w:tab w:val="left" w:pos="834"/>
          <w:tab w:val="left" w:pos="835"/>
        </w:tabs>
        <w:spacing w:after="0" w:line="618" w:lineRule="auto"/>
        <w:ind w:hanging="361"/>
        <w:rPr>
          <w:rFonts w:ascii="Garamond" w:eastAsia="Garamond" w:hAnsi="Garamond" w:cs="Garamond"/>
          <w:color w:val="000000"/>
          <w:sz w:val="36"/>
          <w:szCs w:val="36"/>
        </w:rPr>
        <w:sectPr w:rsidR="003063FF">
          <w:pgSz w:w="11900" w:h="16850"/>
          <w:pgMar w:top="980" w:right="660" w:bottom="280" w:left="560" w:header="720" w:footer="720" w:gutter="0"/>
          <w:pgNumType w:start="1"/>
          <w:cols w:space="720"/>
        </w:sectPr>
      </w:pPr>
      <w:proofErr w:type="gramStart"/>
      <w:r>
        <w:rPr>
          <w:rFonts w:ascii="Garamond" w:eastAsia="Garamond" w:hAnsi="Garamond" w:cs="Garamond"/>
          <w:color w:val="000000"/>
          <w:sz w:val="36"/>
          <w:szCs w:val="36"/>
        </w:rPr>
        <w:t>articolazione  LICEO</w:t>
      </w:r>
      <w:proofErr w:type="gramEnd"/>
      <w:r>
        <w:rPr>
          <w:rFonts w:ascii="Garamond" w:eastAsia="Garamond" w:hAnsi="Garamond" w:cs="Garamond"/>
          <w:color w:val="000000"/>
          <w:sz w:val="36"/>
          <w:szCs w:val="36"/>
        </w:rPr>
        <w:t xml:space="preserve"> SCIENTIFICO SPORTIVO</w:t>
      </w:r>
    </w:p>
    <w:p w14:paraId="402E9D55" w14:textId="77777777" w:rsidR="003063FF" w:rsidRDefault="00000000">
      <w:pPr>
        <w:rPr>
          <w:rFonts w:ascii="Garamond" w:eastAsia="Garamond" w:hAnsi="Garamond" w:cs="Garamond"/>
          <w:b/>
        </w:rPr>
      </w:pPr>
      <w:r>
        <w:rPr>
          <w:rFonts w:ascii="Garamond" w:eastAsia="Garamond" w:hAnsi="Garamond" w:cs="Garamond"/>
          <w:b/>
        </w:rPr>
        <w:lastRenderedPageBreak/>
        <w:t xml:space="preserve">PREMESSA: </w:t>
      </w:r>
      <w:r>
        <w:rPr>
          <w:b/>
        </w:rPr>
        <w:t xml:space="preserve">DIRITTO ED ECONOMIA DELLO SPORT LINEE GENERALI E COMPETENZE </w:t>
      </w:r>
      <w:r>
        <w:rPr>
          <w:rFonts w:ascii="Garamond" w:eastAsia="Garamond" w:hAnsi="Garamond" w:cs="Garamond"/>
          <w:b/>
        </w:rPr>
        <w:t xml:space="preserve"> </w:t>
      </w:r>
    </w:p>
    <w:p w14:paraId="5756A350" w14:textId="77777777" w:rsidR="003063FF" w:rsidRDefault="00000000">
      <w:r>
        <w:t xml:space="preserve">Diritto </w:t>
      </w:r>
    </w:p>
    <w:p w14:paraId="31C4214F" w14:textId="77777777" w:rsidR="003063FF" w:rsidRDefault="00000000">
      <w:pPr>
        <w:jc w:val="both"/>
      </w:pPr>
      <w:r>
        <w:t>Al termine del percorso liceale lo studente è in grado di: 1) utilizzare e comprendere il linguaggio giuridico in diversi contesti e di identificare l’ineliminabile funzione sociale della norma giuridica valutando la necessità di accettare i limiti che da essa derivano alla libertà individuale; 2) individuare la relatività in senso temporale e spaziale del fenomeno giuridico e la sua dipendenza dal contesto socio-culturale in cui si sviluppa; 3) interpretare il fenomeno sportivo sotto il profili dei soggetti, delle correlative responsabilità e degli organi deputati ad accertarle alla luce delle fonti normative più significative dimostrando di saper confrontare soluzioni giuridiche con situazioni reali. Lo studente ha inoltre una conoscenza approfondita delle Costituzione Italiana, dei valori ad essa sottesi, dei beni-interessi da essa tutelati e dei principi ispiratori dell’assetto istituzionale e della forma di governo ed è in grado di confrontare l’ordinamento giuridico statale e quello sportivo. Ha una conoscenza sicura del processo di integrazione europea e degli organi istituzionali dell’Unione Europea.</w:t>
      </w:r>
    </w:p>
    <w:p w14:paraId="4C3EA718" w14:textId="77777777" w:rsidR="003063FF" w:rsidRDefault="00000000">
      <w:r>
        <w:t>Economia</w:t>
      </w:r>
    </w:p>
    <w:p w14:paraId="1A9D23EE" w14:textId="77777777" w:rsidR="003063FF" w:rsidRDefault="00000000">
      <w:pPr>
        <w:jc w:val="both"/>
      </w:pPr>
      <w:r>
        <w:t xml:space="preserve"> Al termine del percorso liceale lo studente conosce le essenziali categorie concettuali dell’economia ed è in grado di comprendere il linguaggio economico e l’importanza dell’economia come scienza in grado di influire profondamente sullo sviluppo e sulla qualità della vita a livello globale. Egli è in grado di confrontare modelli economici con situazioni reali e di riconoscere e distinguere il ruolo e le relazioni tra i diversi operatori economici pubblici e privati anche a livello internazionale. Lo studente è inoltre in grado di interpretare le dinamiche economiche del mondo sportivo, di riconoscere le implicazioni economico-aziendali e gestionali connesse al fenomeno sport e di analizzare le metodologie e le strategie di marketing e comunicazione applicate allo sport.</w:t>
      </w:r>
    </w:p>
    <w:p w14:paraId="19781DA2" w14:textId="77777777" w:rsidR="003063FF" w:rsidRDefault="003063FF">
      <w:pPr>
        <w:jc w:val="both"/>
      </w:pPr>
    </w:p>
    <w:p w14:paraId="30157DDC" w14:textId="77777777" w:rsidR="003063FF" w:rsidRDefault="00000000">
      <w:pPr>
        <w:jc w:val="both"/>
        <w:rPr>
          <w:b/>
        </w:rPr>
      </w:pPr>
      <w:r>
        <w:rPr>
          <w:b/>
        </w:rPr>
        <w:t xml:space="preserve">SECONDO BIENNIO </w:t>
      </w:r>
    </w:p>
    <w:p w14:paraId="438A28A1" w14:textId="77777777" w:rsidR="003063FF" w:rsidRDefault="00000000">
      <w:pPr>
        <w:jc w:val="both"/>
      </w:pPr>
      <w:r>
        <w:t>OBIETTIVI SPECIFICI DI APPRENDIMENTO</w:t>
      </w:r>
    </w:p>
    <w:p w14:paraId="26457BCF" w14:textId="77777777" w:rsidR="003063FF" w:rsidRDefault="00000000">
      <w:pPr>
        <w:jc w:val="both"/>
        <w:rPr>
          <w:b/>
        </w:rPr>
      </w:pPr>
      <w:r>
        <w:t xml:space="preserve"> </w:t>
      </w:r>
      <w:r>
        <w:rPr>
          <w:b/>
        </w:rPr>
        <w:t>DIRITTO</w:t>
      </w:r>
    </w:p>
    <w:p w14:paraId="52AB8D70" w14:textId="77777777" w:rsidR="003063FF" w:rsidRDefault="00000000">
      <w:pPr>
        <w:jc w:val="both"/>
      </w:pPr>
      <w:r>
        <w:t xml:space="preserve">  Nel secondo biennio lo studente apprende significato, funzione, caratteri ed elementi della norma giuridica come fondamento della convivenza e la distingue dalle norme prive di rilevanza giuridica; affronta la teoria generale dell’ordinamento giuridico dello sport con particolare riferimento al sistema delle fonti del diritto sportivo; riconosce ed individua il rapporto tra ordinamento sportivo e ordinamento statale; affronta il tema dei soggetti del diritto, il ruolo e le funzioni dell’individuo e delle organizzazioni collettive; apprende il funzionamento dell’ordinamento sportivo italiano con specifica attenzione ai soggetti dell’ordinamento stesso ed approfondisce le tematiche concernenti la tutela dello sportivo anche da un punto di vista sanitario e previdenziale; apprende i valori sottesi alla Costituzione italiana; riconosce il ruolo attribuito allo sport dalla Costituzione e la sua correlazione con la salute pubblica; affronta la tematica del doping e le sue implicazioni giuridiche; apprende il tema dei comportamenti devianti e delle correlative responsabilità riconoscendo la funzione preventiva e repressiva delle sanzioni con particolare riguardo al tema della responsabilità nell’ordinamento sportivo; apprende le principali categorie dei diritti soggettivi con riferimento speciale a quelli nascenti da obbligazioni e da contratti; analizza il contratto di lavoro in generale e in particolare quelli stipulati nel mondo dello sport secondo la legislazione vigente; analizza i «</w:t>
      </w:r>
      <w:proofErr w:type="spellStart"/>
      <w:r>
        <w:t>leading</w:t>
      </w:r>
      <w:proofErr w:type="spellEnd"/>
      <w:r>
        <w:t xml:space="preserve"> case» relativi alla libera circolazione dei lavoratori sportivi.</w:t>
      </w:r>
    </w:p>
    <w:p w14:paraId="1A5DE858" w14:textId="77777777" w:rsidR="003063FF" w:rsidRDefault="003063FF">
      <w:pPr>
        <w:jc w:val="both"/>
      </w:pPr>
    </w:p>
    <w:p w14:paraId="1FA7259A" w14:textId="77777777" w:rsidR="003063FF" w:rsidRDefault="003063FF">
      <w:pPr>
        <w:jc w:val="both"/>
      </w:pPr>
    </w:p>
    <w:p w14:paraId="6A5A502C" w14:textId="77777777" w:rsidR="003063FF" w:rsidRDefault="00000000">
      <w:pPr>
        <w:jc w:val="both"/>
        <w:rPr>
          <w:b/>
        </w:rPr>
      </w:pPr>
      <w:r>
        <w:rPr>
          <w:b/>
        </w:rPr>
        <w:t xml:space="preserve">ECONOMIA </w:t>
      </w:r>
    </w:p>
    <w:p w14:paraId="25C28FE9" w14:textId="77777777" w:rsidR="003063FF" w:rsidRDefault="00000000">
      <w:pPr>
        <w:jc w:val="both"/>
      </w:pPr>
      <w:r>
        <w:t>Nel secondo biennio lo studente riconosce la natura specifica del problema economico familiarizzando con il modo di pensare economico; apprende la logica microeconomica e macroeconomica e ne riconosce le differenti specificità; analizza i concetti di ricchezza, reddito, moneta, produzione, consumo, risparmio, investimento, costo e ricavo; apprende il funzionamento del sistema economico a partire dall’impresa come sua cellula costitutiva e nelle sue diverse manifestazioni fi no ad analizzare il mercato del lavoro, il sistema monetario e finanziario; riconosce nel fenomeno sport un settore economico e sociale di straordinario dinamismo con risvolti occupazionali di notevole rilevanza; apprende i profili economico-aziendali dell’attività sportiva; affronta le implicazioni economiche del fenomeno del calciomercato.</w:t>
      </w:r>
    </w:p>
    <w:p w14:paraId="3417B503" w14:textId="77777777" w:rsidR="003063FF" w:rsidRDefault="003063FF">
      <w:pPr>
        <w:jc w:val="both"/>
      </w:pPr>
    </w:p>
    <w:p w14:paraId="0C8805FD" w14:textId="77777777" w:rsidR="003063FF" w:rsidRDefault="003063FF">
      <w:pPr>
        <w:jc w:val="both"/>
      </w:pPr>
    </w:p>
    <w:p w14:paraId="595A82D7" w14:textId="77777777" w:rsidR="003063FF" w:rsidRDefault="003063FF">
      <w:pPr>
        <w:jc w:val="both"/>
      </w:pPr>
    </w:p>
    <w:p w14:paraId="005A5A56" w14:textId="77777777" w:rsidR="003063FF" w:rsidRDefault="003063FF">
      <w:pPr>
        <w:jc w:val="both"/>
      </w:pPr>
    </w:p>
    <w:p w14:paraId="25483BC2" w14:textId="77777777" w:rsidR="003063FF" w:rsidRDefault="003063FF">
      <w:pPr>
        <w:jc w:val="both"/>
      </w:pPr>
    </w:p>
    <w:p w14:paraId="5F2942E4" w14:textId="77777777" w:rsidR="003063FF" w:rsidRDefault="003063FF">
      <w:pPr>
        <w:jc w:val="both"/>
      </w:pPr>
    </w:p>
    <w:p w14:paraId="4CF7FCA5" w14:textId="77777777" w:rsidR="003063FF" w:rsidRDefault="003063FF">
      <w:pPr>
        <w:jc w:val="both"/>
      </w:pPr>
    </w:p>
    <w:p w14:paraId="60A41B48" w14:textId="77777777" w:rsidR="003063FF" w:rsidRDefault="003063FF">
      <w:pPr>
        <w:jc w:val="both"/>
      </w:pPr>
    </w:p>
    <w:p w14:paraId="12B79517" w14:textId="77777777" w:rsidR="003063FF" w:rsidRDefault="003063FF">
      <w:pPr>
        <w:jc w:val="both"/>
      </w:pPr>
    </w:p>
    <w:p w14:paraId="27DF5778" w14:textId="77777777" w:rsidR="003063FF" w:rsidRDefault="003063FF">
      <w:pPr>
        <w:jc w:val="both"/>
      </w:pPr>
    </w:p>
    <w:p w14:paraId="3E2B4E57" w14:textId="77777777" w:rsidR="003063FF" w:rsidRDefault="003063FF">
      <w:pPr>
        <w:jc w:val="both"/>
      </w:pPr>
    </w:p>
    <w:p w14:paraId="1E693ED7" w14:textId="77777777" w:rsidR="003063FF" w:rsidRDefault="003063FF">
      <w:pPr>
        <w:jc w:val="both"/>
      </w:pPr>
    </w:p>
    <w:tbl>
      <w:tblPr>
        <w:tblStyle w:val="a"/>
        <w:tblW w:w="13072" w:type="dxa"/>
        <w:tblInd w:w="0" w:type="dxa"/>
        <w:tblBorders>
          <w:insideH w:val="single" w:sz="4" w:space="0" w:color="000000"/>
        </w:tblBorders>
        <w:tblLayout w:type="fixed"/>
        <w:tblLook w:val="0000" w:firstRow="0" w:lastRow="0" w:firstColumn="0" w:lastColumn="0" w:noHBand="0" w:noVBand="0"/>
      </w:tblPr>
      <w:tblGrid>
        <w:gridCol w:w="2250"/>
        <w:gridCol w:w="2288"/>
        <w:gridCol w:w="4871"/>
        <w:gridCol w:w="3663"/>
      </w:tblGrid>
      <w:tr w:rsidR="003063FF" w14:paraId="7FB79981" w14:textId="77777777">
        <w:trPr>
          <w:tblHeader/>
        </w:trPr>
        <w:tc>
          <w:tcPr>
            <w:tcW w:w="13072" w:type="dxa"/>
            <w:gridSpan w:val="4"/>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469C92C6" w14:textId="77777777" w:rsidR="003063FF" w:rsidRDefault="00000000">
            <w:pPr>
              <w:widowControl w:val="0"/>
              <w:pBdr>
                <w:top w:val="nil"/>
                <w:left w:val="nil"/>
                <w:bottom w:val="nil"/>
                <w:right w:val="nil"/>
                <w:between w:val="nil"/>
              </w:pBdr>
              <w:spacing w:after="0" w:line="288" w:lineRule="auto"/>
              <w:ind w:left="170" w:right="113" w:hanging="170"/>
              <w:jc w:val="center"/>
              <w:rPr>
                <w:rFonts w:ascii="Times New Roman" w:eastAsia="Times New Roman" w:hAnsi="Times New Roman" w:cs="Times New Roman"/>
                <w:b/>
                <w:smallCaps/>
                <w:color w:val="000000"/>
              </w:rPr>
            </w:pPr>
            <w:r>
              <w:rPr>
                <w:rFonts w:ascii="Times New Roman" w:eastAsia="Times New Roman" w:hAnsi="Times New Roman" w:cs="Times New Roman"/>
                <w:b/>
                <w:smallCaps/>
                <w:color w:val="000000"/>
              </w:rPr>
              <w:t xml:space="preserve">TAVOLA DI PROGRAMMAZIONE per il secondo biennio </w:t>
            </w:r>
          </w:p>
        </w:tc>
      </w:tr>
      <w:tr w:rsidR="003063FF" w14:paraId="68B4B438" w14:textId="77777777">
        <w:tc>
          <w:tcPr>
            <w:tcW w:w="2250"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4188F96D" w14:textId="77777777" w:rsidR="003063FF" w:rsidRDefault="003063FF">
            <w:pPr>
              <w:widowControl w:val="0"/>
              <w:pBdr>
                <w:top w:val="nil"/>
                <w:left w:val="nil"/>
                <w:bottom w:val="nil"/>
                <w:right w:val="nil"/>
                <w:between w:val="nil"/>
              </w:pBdr>
              <w:spacing w:after="0" w:line="288" w:lineRule="auto"/>
              <w:ind w:left="170" w:right="113" w:hanging="170"/>
              <w:rPr>
                <w:rFonts w:ascii="Times New Roman" w:eastAsia="Times New Roman" w:hAnsi="Times New Roman" w:cs="Times New Roman"/>
                <w:color w:val="000000"/>
                <w:sz w:val="18"/>
                <w:szCs w:val="18"/>
              </w:rPr>
            </w:pPr>
          </w:p>
        </w:tc>
        <w:tc>
          <w:tcPr>
            <w:tcW w:w="2288"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3ED5A556"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Competenze</w:t>
            </w:r>
          </w:p>
        </w:tc>
        <w:tc>
          <w:tcPr>
            <w:tcW w:w="4871"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2534ACCF"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Abilità </w:t>
            </w:r>
          </w:p>
        </w:tc>
        <w:tc>
          <w:tcPr>
            <w:tcW w:w="3663"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70D64F7F"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Conoscenze</w:t>
            </w:r>
          </w:p>
        </w:tc>
      </w:tr>
      <w:tr w:rsidR="003063FF" w14:paraId="62BAF664" w14:textId="77777777">
        <w:tc>
          <w:tcPr>
            <w:tcW w:w="2250"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7772B68F"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1 – I principi generali del diritto</w:t>
            </w:r>
          </w:p>
          <w:p w14:paraId="06D29393"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5774192F"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1BF7156A"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Le norme giuridiche e i loro caratteri</w:t>
            </w:r>
          </w:p>
          <w:p w14:paraId="70FD4837"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Le fonti normative e l’efficacia delle leggi</w:t>
            </w:r>
          </w:p>
          <w:p w14:paraId="3FC85579"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L’evoluzione storica del diritto</w:t>
            </w:r>
          </w:p>
          <w:p w14:paraId="0383E797"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 soggetti del diritto</w:t>
            </w:r>
          </w:p>
          <w:p w14:paraId="76583D28"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FF"/>
                <w:sz w:val="18"/>
                <w:szCs w:val="18"/>
              </w:rPr>
            </w:pPr>
            <w:r w:rsidRPr="00C25CA7">
              <w:rPr>
                <w:rFonts w:ascii="Times New Roman" w:eastAsia="Times New Roman" w:hAnsi="Times New Roman" w:cs="Times New Roman"/>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L’ordinamento giuridico dello sport e le fonti del diritto sportivo</w:t>
            </w:r>
          </w:p>
        </w:tc>
        <w:tc>
          <w:tcPr>
            <w:tcW w:w="2288"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322F154D"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Riconoscere l’importanza della presenza di regole giuridiche in un contesto sociale organizzato, individuando il peso che esse assumono nelle relazioni umane e il loro legame con la formazione di un cittadino attento e consapevole</w:t>
            </w:r>
          </w:p>
        </w:tc>
        <w:tc>
          <w:tcPr>
            <w:tcW w:w="4871"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535108D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la funzione essenziale del diritto, irrinunciabile in una società civile</w:t>
            </w:r>
          </w:p>
          <w:p w14:paraId="66CDAA40"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in grado di interpretare il significato di semplici norme giuridiche</w:t>
            </w:r>
          </w:p>
          <w:p w14:paraId="7B093A47"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consapevoli della finalità preventiva, oltre che punitiva, delle sanzioni previste in caso di inosservanza delle norme giuridiche</w:t>
            </w:r>
          </w:p>
          <w:p w14:paraId="2C0DBE9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la diversa importanza delle fonti del diritto</w:t>
            </w:r>
          </w:p>
          <w:p w14:paraId="26565A96"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Cogliere l’importanza delle norme scritte quale garanzia per i diritti delle persone</w:t>
            </w:r>
          </w:p>
        </w:tc>
        <w:tc>
          <w:tcPr>
            <w:tcW w:w="3663"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59DE0641"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caratteristiche proprie delle norme giuridiche</w:t>
            </w:r>
          </w:p>
          <w:p w14:paraId="35A2DCAE"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criteri di interpretazione delle norme giuridiche</w:t>
            </w:r>
          </w:p>
          <w:p w14:paraId="43F8DCB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Gli atti che danno vita alle norme giuridiche</w:t>
            </w:r>
          </w:p>
          <w:p w14:paraId="3D38730F"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percorso delle leggi da quando vengono emanate a quando cessano di avere efficacia</w:t>
            </w:r>
          </w:p>
          <w:p w14:paraId="39A2D5B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ruolo di interpretazione delle norme giuridiche da parte dei giudici</w:t>
            </w:r>
          </w:p>
          <w:p w14:paraId="36EDFAC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Il passaggio dalle consuetudini </w:t>
            </w:r>
            <w:r>
              <w:rPr>
                <w:rFonts w:ascii="Times New Roman" w:eastAsia="Times New Roman" w:hAnsi="Times New Roman" w:cs="Times New Roman"/>
                <w:color w:val="000000"/>
                <w:sz w:val="18"/>
                <w:szCs w:val="18"/>
              </w:rPr>
              <w:br/>
              <w:t>alle norme scritte</w:t>
            </w:r>
          </w:p>
        </w:tc>
      </w:tr>
      <w:tr w:rsidR="003063FF" w14:paraId="413D40D1" w14:textId="77777777">
        <w:tc>
          <w:tcPr>
            <w:tcW w:w="2250"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398B4075"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Modulo 2 – La Costituzione italiana, </w:t>
            </w:r>
            <w:r>
              <w:rPr>
                <w:rFonts w:ascii="Times New Roman" w:eastAsia="Times New Roman" w:hAnsi="Times New Roman" w:cs="Times New Roman"/>
                <w:b/>
                <w:color w:val="000000"/>
                <w:sz w:val="18"/>
                <w:szCs w:val="18"/>
              </w:rPr>
              <w:br/>
              <w:t>i diritti e le libertà</w:t>
            </w:r>
            <w:r>
              <w:rPr>
                <w:rFonts w:ascii="Times New Roman" w:eastAsia="Times New Roman" w:hAnsi="Times New Roman" w:cs="Times New Roman"/>
                <w:b/>
                <w:color w:val="000000"/>
                <w:sz w:val="18"/>
                <w:szCs w:val="18"/>
              </w:rPr>
              <w:br/>
              <w:t>dei cittadini</w:t>
            </w:r>
          </w:p>
          <w:p w14:paraId="2E349216"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31D517B5"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56FB39B1"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La Costituzione italiana e i suoi caratteri</w:t>
            </w:r>
          </w:p>
          <w:p w14:paraId="7EE12B51"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 principi fondamentali della Costituzione</w:t>
            </w:r>
          </w:p>
          <w:p w14:paraId="1F47B179"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tutela delle libertà</w:t>
            </w:r>
          </w:p>
          <w:p w14:paraId="1C7029EE"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FF"/>
                <w:sz w:val="18"/>
                <w:szCs w:val="18"/>
              </w:rPr>
            </w:pPr>
            <w:r>
              <w:rPr>
                <w:rFonts w:ascii="Times New Roman" w:eastAsia="Times New Roman" w:hAnsi="Times New Roman" w:cs="Times New Roman"/>
                <w:color w:val="0000FF"/>
                <w:sz w:val="18"/>
                <w:szCs w:val="18"/>
              </w:rPr>
              <w:t xml:space="preserve">- </w:t>
            </w:r>
            <w:r w:rsidRPr="00C25CA7">
              <w:rPr>
                <w:rFonts w:ascii="Times New Roman" w:eastAsia="Times New Roman" w:hAnsi="Times New Roman" w:cs="Times New Roman"/>
                <w:sz w:val="18"/>
                <w:szCs w:val="18"/>
              </w:rPr>
              <w:t>Lo sport nella Costituzione italiana</w:t>
            </w:r>
          </w:p>
        </w:tc>
        <w:tc>
          <w:tcPr>
            <w:tcW w:w="2288"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16054111"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le strategie possibili per consentire la piena realizzazione dei principi enunciati nella nostra Costituzione</w:t>
            </w:r>
          </w:p>
          <w:p w14:paraId="629DE617"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in grado di riconoscere la tutela delle diverse forme di libertà civile in Italia, confrontandola con quella applicata in altre epoche storiche, in particolare durante il fascismo, e in altri contesti geografici e culturali</w:t>
            </w:r>
          </w:p>
        </w:tc>
        <w:tc>
          <w:tcPr>
            <w:tcW w:w="4871"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5E90F40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le ragioni storiche e politiche che portarono il nostro Paese a passare dalla forma di governo monarchico a quella repubblicana</w:t>
            </w:r>
          </w:p>
          <w:p w14:paraId="79EF3537"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Analizzare i caratteri della Costituzione italiana, soprattutto quelli che la differenziano dallo Statuto albertino</w:t>
            </w:r>
          </w:p>
          <w:p w14:paraId="68D97C6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il significato del principio di uguaglianza sostanziale</w:t>
            </w:r>
          </w:p>
          <w:p w14:paraId="7A86A4A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Individuare nella scelta di Stato regionale la necessità di conciliare l’esigenza dell’autonomia degli enti locali con quella dell’unità dello Stato</w:t>
            </w:r>
          </w:p>
          <w:p w14:paraId="1A688D91"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la necessità di limitazioni alla libertà personale nell’interesse della collettività</w:t>
            </w:r>
          </w:p>
          <w:p w14:paraId="380BABF3"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l’importanza del principio di non colpevolezza degli imputati fino alla condanna definitiva e del principio per cui le pene devono mirare alla rieducazione dei condannati</w:t>
            </w:r>
          </w:p>
          <w:p w14:paraId="32D04C90" w14:textId="77777777" w:rsidR="003063FF" w:rsidRDefault="00000000">
            <w:pPr>
              <w:widowControl w:val="0"/>
              <w:pBdr>
                <w:top w:val="nil"/>
                <w:left w:val="nil"/>
                <w:bottom w:val="nil"/>
                <w:right w:val="nil"/>
                <w:between w:val="nil"/>
              </w:pBdr>
              <w:tabs>
                <w:tab w:val="left" w:pos="709"/>
                <w:tab w:val="left" w:pos="1418"/>
                <w:tab w:val="left" w:pos="2127"/>
                <w:tab w:val="left" w:pos="2836"/>
                <w:tab w:val="left" w:pos="3253"/>
              </w:tabs>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Riconoscere il voto sia come diritto sia come dovere di ogni cittadino</w:t>
            </w:r>
          </w:p>
          <w:p w14:paraId="7C160E7E"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Riconoscere nei doveri costituzionali un modo per partecipare allo sviluppo sociale ed economico del Paese</w:t>
            </w:r>
          </w:p>
        </w:tc>
        <w:tc>
          <w:tcPr>
            <w:tcW w:w="3663"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75370456"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Dalla monarchia costituzionale a quella parlamentare</w:t>
            </w:r>
          </w:p>
          <w:p w14:paraId="5AAE4E27"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Struttura e caratteri della Costituzione</w:t>
            </w:r>
          </w:p>
          <w:p w14:paraId="6BF91232"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sovranità popolare, i diritti inviolabili e i doveri inderogabili</w:t>
            </w:r>
          </w:p>
          <w:p w14:paraId="4D3BF4CF"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Decentramento, autonomia e tutela </w:t>
            </w:r>
            <w:r>
              <w:rPr>
                <w:rFonts w:ascii="Times New Roman" w:eastAsia="Times New Roman" w:hAnsi="Times New Roman" w:cs="Times New Roman"/>
                <w:color w:val="000000"/>
                <w:sz w:val="18"/>
                <w:szCs w:val="18"/>
              </w:rPr>
              <w:br/>
              <w:t>delle minoranze linguistiche</w:t>
            </w:r>
          </w:p>
          <w:p w14:paraId="102B91B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laicità dello Stato</w:t>
            </w:r>
          </w:p>
          <w:p w14:paraId="72824EF4"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tutela della ricerca scientifica, dell’ambiente e della cultura</w:t>
            </w:r>
          </w:p>
          <w:p w14:paraId="0C1BE44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tutela della libertà personale</w:t>
            </w:r>
          </w:p>
          <w:p w14:paraId="2512029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Diritto alla difesa, giudice naturale, presunzione di non colpevolezza</w:t>
            </w:r>
          </w:p>
          <w:p w14:paraId="3EFB140E"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doveri dei cittadini</w:t>
            </w:r>
          </w:p>
        </w:tc>
      </w:tr>
    </w:tbl>
    <w:p w14:paraId="65EC62B2" w14:textId="77777777" w:rsidR="003063FF" w:rsidRDefault="00000000">
      <w:r>
        <w:br w:type="page"/>
      </w:r>
    </w:p>
    <w:tbl>
      <w:tblPr>
        <w:tblStyle w:val="a0"/>
        <w:tblW w:w="13326" w:type="dxa"/>
        <w:tblInd w:w="0" w:type="dxa"/>
        <w:tblBorders>
          <w:insideH w:val="single" w:sz="4" w:space="0" w:color="000000"/>
        </w:tblBorders>
        <w:tblLayout w:type="fixed"/>
        <w:tblLook w:val="0000" w:firstRow="0" w:lastRow="0" w:firstColumn="0" w:lastColumn="0" w:noHBand="0" w:noVBand="0"/>
      </w:tblPr>
      <w:tblGrid>
        <w:gridCol w:w="3333"/>
        <w:gridCol w:w="3332"/>
        <w:gridCol w:w="3329"/>
        <w:gridCol w:w="3332"/>
      </w:tblGrid>
      <w:tr w:rsidR="003063FF" w14:paraId="234209EE" w14:textId="77777777">
        <w:trPr>
          <w:tblHeader/>
        </w:trPr>
        <w:tc>
          <w:tcPr>
            <w:tcW w:w="3333"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38933F86" w14:textId="77777777" w:rsidR="003063FF" w:rsidRDefault="003063FF">
            <w:pPr>
              <w:widowControl w:val="0"/>
              <w:pBdr>
                <w:top w:val="nil"/>
                <w:left w:val="nil"/>
                <w:bottom w:val="nil"/>
                <w:right w:val="nil"/>
                <w:between w:val="nil"/>
              </w:pBdr>
              <w:spacing w:after="0" w:line="288" w:lineRule="auto"/>
              <w:ind w:left="170" w:right="113" w:hanging="170"/>
              <w:rPr>
                <w:rFonts w:ascii="Times New Roman" w:eastAsia="Times New Roman" w:hAnsi="Times New Roman" w:cs="Times New Roman"/>
                <w:color w:val="000000"/>
                <w:sz w:val="18"/>
                <w:szCs w:val="18"/>
              </w:rPr>
            </w:pPr>
          </w:p>
        </w:tc>
        <w:tc>
          <w:tcPr>
            <w:tcW w:w="3332"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03F8D100"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Competenze</w:t>
            </w:r>
          </w:p>
        </w:tc>
        <w:tc>
          <w:tcPr>
            <w:tcW w:w="3329"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7B768DE4"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Abilità</w:t>
            </w:r>
          </w:p>
        </w:tc>
        <w:tc>
          <w:tcPr>
            <w:tcW w:w="3332"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0E2E5A11"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Conoscenze</w:t>
            </w:r>
          </w:p>
        </w:tc>
      </w:tr>
      <w:tr w:rsidR="003063FF" w14:paraId="5C091F25" w14:textId="77777777">
        <w:tc>
          <w:tcPr>
            <w:tcW w:w="3333"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3783BB70"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3 – Le obbligazioni e i contratti</w:t>
            </w:r>
          </w:p>
          <w:p w14:paraId="53BA9892"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387BED8F"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05555C99"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36CDFE4C"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Le obbligazioni: caratteri, fonti, tipologie</w:t>
            </w:r>
          </w:p>
          <w:p w14:paraId="17A1839A"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L’estinzione delle obbligazioni</w:t>
            </w:r>
          </w:p>
          <w:p w14:paraId="2A426431"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contratto e i suoi elementi costitutivi</w:t>
            </w:r>
          </w:p>
          <w:p w14:paraId="500A7CF3"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formazione e gli effetti </w:t>
            </w:r>
            <w:r>
              <w:rPr>
                <w:rFonts w:ascii="Times New Roman" w:eastAsia="Times New Roman" w:hAnsi="Times New Roman" w:cs="Times New Roman"/>
                <w:color w:val="000000"/>
                <w:sz w:val="18"/>
                <w:szCs w:val="18"/>
              </w:rPr>
              <w:br/>
              <w:t>del contratto</w:t>
            </w:r>
          </w:p>
          <w:p w14:paraId="3D684541"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L’invalidità e l’inefficacia </w:t>
            </w:r>
            <w:r>
              <w:rPr>
                <w:rFonts w:ascii="Times New Roman" w:eastAsia="Times New Roman" w:hAnsi="Times New Roman" w:cs="Times New Roman"/>
                <w:color w:val="000000"/>
                <w:sz w:val="18"/>
                <w:szCs w:val="18"/>
              </w:rPr>
              <w:br/>
              <w:t>del contratto</w:t>
            </w:r>
          </w:p>
          <w:p w14:paraId="27818ED7"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contratto di lavoro subordinato</w:t>
            </w:r>
          </w:p>
          <w:p w14:paraId="64359352" w14:textId="7E98DDC4" w:rsidR="00C25CA7" w:rsidRPr="00C25CA7" w:rsidRDefault="00C25CA7" w:rsidP="00C25CA7">
            <w:pPr>
              <w:pStyle w:val="Paragrafoelenco"/>
              <w:numPr>
                <w:ilvl w:val="0"/>
                <w:numId w:val="4"/>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Il contratto di lavoro sportivo e gli altri contratti legati al mondo dello sport</w:t>
            </w:r>
          </w:p>
        </w:tc>
        <w:tc>
          <w:tcPr>
            <w:tcW w:w="3332"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7661A048"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Individuare l’utilità della disciplina </w:t>
            </w:r>
            <w:r>
              <w:rPr>
                <w:rFonts w:ascii="Times New Roman" w:eastAsia="Times New Roman" w:hAnsi="Times New Roman" w:cs="Times New Roman"/>
                <w:color w:val="000000"/>
                <w:sz w:val="18"/>
                <w:szCs w:val="18"/>
              </w:rPr>
              <w:br/>
              <w:t xml:space="preserve">del rapporto obbligatorio, in particolare della tutela degli interessi del creditore, nel più ampio contesto delle relazioni socioeconomiche e quindi </w:t>
            </w:r>
            <w:r>
              <w:rPr>
                <w:rFonts w:ascii="Times New Roman" w:eastAsia="Times New Roman" w:hAnsi="Times New Roman" w:cs="Times New Roman"/>
                <w:color w:val="000000"/>
                <w:sz w:val="18"/>
                <w:szCs w:val="18"/>
              </w:rPr>
              <w:br/>
              <w:t xml:space="preserve">del funzionamento e dello sviluppo </w:t>
            </w:r>
            <w:r>
              <w:rPr>
                <w:rFonts w:ascii="Times New Roman" w:eastAsia="Times New Roman" w:hAnsi="Times New Roman" w:cs="Times New Roman"/>
                <w:color w:val="000000"/>
                <w:sz w:val="18"/>
                <w:szCs w:val="18"/>
              </w:rPr>
              <w:br/>
              <w:t>della società</w:t>
            </w:r>
          </w:p>
          <w:p w14:paraId="1A4ECEC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Riconoscere l’importanza economica </w:t>
            </w:r>
            <w:r>
              <w:rPr>
                <w:rFonts w:ascii="Times New Roman" w:eastAsia="Times New Roman" w:hAnsi="Times New Roman" w:cs="Times New Roman"/>
                <w:color w:val="000000"/>
                <w:sz w:val="18"/>
                <w:szCs w:val="18"/>
              </w:rPr>
              <w:br/>
              <w:t xml:space="preserve">e sociale del contratto, collocando </w:t>
            </w:r>
            <w:r>
              <w:rPr>
                <w:rFonts w:ascii="Times New Roman" w:eastAsia="Times New Roman" w:hAnsi="Times New Roman" w:cs="Times New Roman"/>
                <w:color w:val="000000"/>
                <w:sz w:val="18"/>
                <w:szCs w:val="18"/>
              </w:rPr>
              <w:br/>
              <w:t xml:space="preserve">il principio dell’autonomia contrattuale </w:t>
            </w:r>
            <w:r>
              <w:rPr>
                <w:rFonts w:ascii="Times New Roman" w:eastAsia="Times New Roman" w:hAnsi="Times New Roman" w:cs="Times New Roman"/>
                <w:color w:val="000000"/>
                <w:sz w:val="18"/>
                <w:szCs w:val="18"/>
              </w:rPr>
              <w:br/>
              <w:t>nel quadro della tutela delle libertà civili</w:t>
            </w:r>
          </w:p>
        </w:tc>
        <w:tc>
          <w:tcPr>
            <w:tcW w:w="3329"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5C5FCCC2"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Distinguere i diritti reali, che sono assoluti, dai diritti di obbligazione, </w:t>
            </w:r>
            <w:r>
              <w:rPr>
                <w:rFonts w:ascii="Times New Roman" w:eastAsia="Times New Roman" w:hAnsi="Times New Roman" w:cs="Times New Roman"/>
                <w:color w:val="000000"/>
                <w:sz w:val="18"/>
                <w:szCs w:val="18"/>
              </w:rPr>
              <w:br/>
              <w:t>che sono relativi</w:t>
            </w:r>
          </w:p>
          <w:p w14:paraId="623F2337"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Cogliere la rilevanza giuridica </w:t>
            </w:r>
            <w:r>
              <w:rPr>
                <w:rFonts w:ascii="Times New Roman" w:eastAsia="Times New Roman" w:hAnsi="Times New Roman" w:cs="Times New Roman"/>
                <w:color w:val="000000"/>
                <w:sz w:val="18"/>
                <w:szCs w:val="18"/>
              </w:rPr>
              <w:br/>
              <w:t>delle diverse tipologie di obbligazioni</w:t>
            </w:r>
          </w:p>
          <w:p w14:paraId="2B36CEAC"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Riconoscere la volontà di proteggere </w:t>
            </w:r>
            <w:r>
              <w:rPr>
                <w:rFonts w:ascii="Times New Roman" w:eastAsia="Times New Roman" w:hAnsi="Times New Roman" w:cs="Times New Roman"/>
                <w:color w:val="000000"/>
                <w:sz w:val="18"/>
                <w:szCs w:val="18"/>
              </w:rPr>
              <w:br/>
              <w:t>gli interessi delle parti, insita nella normativa relativa all’adempimento e all’inadempimento</w:t>
            </w:r>
          </w:p>
          <w:p w14:paraId="70A36038"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Classificare i contratti in base ai loro effetti</w:t>
            </w:r>
          </w:p>
          <w:p w14:paraId="46AF25F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Cogliere le finalità pratiche dei contratti preliminari e di quelli per adesione</w:t>
            </w:r>
          </w:p>
          <w:p w14:paraId="4850B55F"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Individuare la differenza tra invalidità </w:t>
            </w:r>
            <w:r>
              <w:rPr>
                <w:rFonts w:ascii="Times New Roman" w:eastAsia="Times New Roman" w:hAnsi="Times New Roman" w:cs="Times New Roman"/>
                <w:color w:val="000000"/>
                <w:sz w:val="18"/>
                <w:szCs w:val="18"/>
              </w:rPr>
              <w:br/>
              <w:t>e inefficacia del contratto e, nell’ambito dell’invalidità, tra nullità, annullabilità e rescissione</w:t>
            </w:r>
          </w:p>
        </w:tc>
        <w:tc>
          <w:tcPr>
            <w:tcW w:w="3332"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5B4AD746"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Concetto di obbligazione: caratteri </w:t>
            </w:r>
            <w:r>
              <w:rPr>
                <w:rFonts w:ascii="Times New Roman" w:eastAsia="Times New Roman" w:hAnsi="Times New Roman" w:cs="Times New Roman"/>
                <w:color w:val="000000"/>
                <w:sz w:val="18"/>
                <w:szCs w:val="18"/>
              </w:rPr>
              <w:br/>
              <w:t>ed elementi costitutivi</w:t>
            </w:r>
          </w:p>
          <w:p w14:paraId="6131897F"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Fonti delle obbligazioni</w:t>
            </w:r>
          </w:p>
          <w:p w14:paraId="4474AAA6"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Estinzione delle obbligazioni, </w:t>
            </w:r>
            <w:r>
              <w:rPr>
                <w:rFonts w:ascii="Times New Roman" w:eastAsia="Times New Roman" w:hAnsi="Times New Roman" w:cs="Times New Roman"/>
                <w:color w:val="000000"/>
                <w:sz w:val="18"/>
                <w:szCs w:val="18"/>
              </w:rPr>
              <w:br/>
              <w:t>in particolare per adempimento</w:t>
            </w:r>
          </w:p>
          <w:p w14:paraId="4AC37028"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Inadempimento e sue conseguenze</w:t>
            </w:r>
          </w:p>
          <w:p w14:paraId="46B27DCE"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Nozione di contratto e suoi elementi essenziali e accidentali</w:t>
            </w:r>
          </w:p>
          <w:p w14:paraId="4891286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Tipologie contrattuali</w:t>
            </w:r>
          </w:p>
          <w:p w14:paraId="03C86FE2"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Processo formativo dell’accordo contrattuale</w:t>
            </w:r>
          </w:p>
          <w:p w14:paraId="3B78F0DE"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Effetti del contratto nei confronti </w:t>
            </w:r>
            <w:r>
              <w:rPr>
                <w:rFonts w:ascii="Times New Roman" w:eastAsia="Times New Roman" w:hAnsi="Times New Roman" w:cs="Times New Roman"/>
                <w:color w:val="000000"/>
                <w:sz w:val="18"/>
                <w:szCs w:val="18"/>
              </w:rPr>
              <w:br/>
              <w:t>sia delle parti sia dei terzi</w:t>
            </w:r>
          </w:p>
          <w:p w14:paraId="29BD3E3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Concetti di invalidità e di inefficacia </w:t>
            </w:r>
            <w:r>
              <w:rPr>
                <w:rFonts w:ascii="Times New Roman" w:eastAsia="Times New Roman" w:hAnsi="Times New Roman" w:cs="Times New Roman"/>
                <w:color w:val="000000"/>
                <w:sz w:val="18"/>
                <w:szCs w:val="18"/>
              </w:rPr>
              <w:br/>
              <w:t>dei contratti</w:t>
            </w:r>
          </w:p>
        </w:tc>
      </w:tr>
      <w:tr w:rsidR="003063FF" w14:paraId="6839D86A" w14:textId="77777777">
        <w:tc>
          <w:tcPr>
            <w:tcW w:w="3333"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64FCB3BE"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4 – Il sistema economico</w:t>
            </w:r>
          </w:p>
          <w:p w14:paraId="4D88700A"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063F1EAE"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3E88B408"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1D6F60F0"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 bisogni economici </w:t>
            </w:r>
            <w:r>
              <w:rPr>
                <w:rFonts w:ascii="Times New Roman" w:eastAsia="Times New Roman" w:hAnsi="Times New Roman" w:cs="Times New Roman"/>
                <w:color w:val="000000"/>
                <w:sz w:val="18"/>
                <w:szCs w:val="18"/>
              </w:rPr>
              <w:br/>
              <w:t>e il comportamento dell’uomo</w:t>
            </w:r>
          </w:p>
          <w:p w14:paraId="54E69C58"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sistema economico</w:t>
            </w:r>
          </w:p>
          <w:p w14:paraId="2E08CEE9"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moneta e le sue origini</w:t>
            </w:r>
          </w:p>
          <w:p w14:paraId="7E0D0D37"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sz w:val="18"/>
                <w:szCs w:val="18"/>
              </w:rPr>
            </w:pPr>
            <w:r w:rsidRPr="00C25CA7">
              <w:rPr>
                <w:rFonts w:ascii="Times New Roman" w:eastAsia="Times New Roman" w:hAnsi="Times New Roman" w:cs="Times New Roman"/>
                <w:sz w:val="18"/>
                <w:szCs w:val="18"/>
              </w:rPr>
              <w:t>- Lo Sport come fenomeno sociale</w:t>
            </w:r>
          </w:p>
          <w:p w14:paraId="22F68C8D" w14:textId="3D659B8C" w:rsidR="00C25CA7" w:rsidRDefault="00C25CA7">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FF"/>
                <w:sz w:val="18"/>
                <w:szCs w:val="18"/>
              </w:rPr>
            </w:pPr>
          </w:p>
        </w:tc>
        <w:tc>
          <w:tcPr>
            <w:tcW w:w="3332"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677AB0C5"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Comprendere che tutte le nostre </w:t>
            </w:r>
            <w:r>
              <w:rPr>
                <w:rFonts w:ascii="Times New Roman" w:eastAsia="Times New Roman" w:hAnsi="Times New Roman" w:cs="Times New Roman"/>
                <w:color w:val="000000"/>
                <w:sz w:val="18"/>
                <w:szCs w:val="18"/>
              </w:rPr>
              <w:br/>
              <w:t xml:space="preserve">azioni, sia individuali sia collettive, </w:t>
            </w:r>
            <w:r>
              <w:rPr>
                <w:rFonts w:ascii="Times New Roman" w:eastAsia="Times New Roman" w:hAnsi="Times New Roman" w:cs="Times New Roman"/>
                <w:color w:val="000000"/>
                <w:sz w:val="18"/>
                <w:szCs w:val="18"/>
              </w:rPr>
              <w:br/>
              <w:t>sono collegate alle situazioni di necessità in cui ci troviamo e all’utilità dei beni e dei servizi di cui ci serviamo</w:t>
            </w:r>
          </w:p>
          <w:p w14:paraId="68DC7491"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Cogliere le relazioni tra le funzioni </w:t>
            </w:r>
            <w:r>
              <w:rPr>
                <w:rFonts w:ascii="Times New Roman" w:eastAsia="Times New Roman" w:hAnsi="Times New Roman" w:cs="Times New Roman"/>
                <w:color w:val="000000"/>
                <w:sz w:val="18"/>
                <w:szCs w:val="18"/>
              </w:rPr>
              <w:br/>
              <w:t>della moneta e le necessità delle famiglie e delle imprese</w:t>
            </w:r>
          </w:p>
          <w:p w14:paraId="6C70DA4E"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il ruolo di intermediazione del credito svolto dalle banche, fondamentalmente per la crescita produttiva e occupazionale</w:t>
            </w:r>
          </w:p>
        </w:tc>
        <w:tc>
          <w:tcPr>
            <w:tcW w:w="3329"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4073D74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Cogliere il collegamento esistente </w:t>
            </w:r>
            <w:r>
              <w:rPr>
                <w:rFonts w:ascii="Times New Roman" w:eastAsia="Times New Roman" w:hAnsi="Times New Roman" w:cs="Times New Roman"/>
                <w:color w:val="000000"/>
                <w:sz w:val="18"/>
                <w:szCs w:val="18"/>
              </w:rPr>
              <w:br/>
              <w:t>tra i bisogni economici e il grado di utilità dei beni e dei servizi che li possono soddisfare</w:t>
            </w:r>
          </w:p>
          <w:p w14:paraId="37176D48"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la vitalità di un sistema economico basato sulle molteplici interdipendenze tra i soggetti che ne sono protagonisti</w:t>
            </w:r>
          </w:p>
          <w:p w14:paraId="18C82180"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consapevoli dell’importante ruolo della moneta nei rapporti economici tra famiglie, imprese e Stato</w:t>
            </w:r>
          </w:p>
          <w:p w14:paraId="50B9E3C5"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Comprendere il legame esistente </w:t>
            </w:r>
            <w:r>
              <w:rPr>
                <w:rFonts w:ascii="Times New Roman" w:eastAsia="Times New Roman" w:hAnsi="Times New Roman" w:cs="Times New Roman"/>
                <w:color w:val="000000"/>
                <w:sz w:val="18"/>
                <w:szCs w:val="18"/>
              </w:rPr>
              <w:br/>
              <w:t xml:space="preserve">tra la quantità di moneta in circolazione </w:t>
            </w:r>
            <w:r>
              <w:rPr>
                <w:rFonts w:ascii="Times New Roman" w:eastAsia="Times New Roman" w:hAnsi="Times New Roman" w:cs="Times New Roman"/>
                <w:color w:val="000000"/>
                <w:sz w:val="18"/>
                <w:szCs w:val="18"/>
              </w:rPr>
              <w:br/>
              <w:t>e il potere d’acquisto della moneta</w:t>
            </w:r>
          </w:p>
        </w:tc>
        <w:tc>
          <w:tcPr>
            <w:tcW w:w="3332" w:type="dxa"/>
            <w:tcBorders>
              <w:top w:val="single" w:sz="4" w:space="0" w:color="000000"/>
              <w:left w:val="single" w:sz="4" w:space="0" w:color="000000"/>
              <w:bottom w:val="single" w:sz="4" w:space="0" w:color="000000"/>
              <w:right w:val="single" w:sz="4" w:space="0" w:color="000000"/>
            </w:tcBorders>
            <w:shd w:val="clear" w:color="auto" w:fill="auto"/>
            <w:tcMar>
              <w:top w:w="113" w:type="dxa"/>
              <w:left w:w="113" w:type="dxa"/>
              <w:bottom w:w="113" w:type="dxa"/>
              <w:right w:w="113" w:type="dxa"/>
            </w:tcMar>
          </w:tcPr>
          <w:p w14:paraId="0663E638"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principali caratteri dei bisogni economici e le loro tipologie</w:t>
            </w:r>
          </w:p>
          <w:p w14:paraId="4183AA2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classificazione dei beni economici</w:t>
            </w:r>
          </w:p>
          <w:p w14:paraId="7323F375"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concetto di sistema economico</w:t>
            </w:r>
          </w:p>
          <w:p w14:paraId="453FC66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 processi di interazione tra i soggetti </w:t>
            </w:r>
            <w:r>
              <w:rPr>
                <w:rFonts w:ascii="Times New Roman" w:eastAsia="Times New Roman" w:hAnsi="Times New Roman" w:cs="Times New Roman"/>
                <w:color w:val="000000"/>
                <w:sz w:val="18"/>
                <w:szCs w:val="18"/>
              </w:rPr>
              <w:br/>
              <w:t>del sistema economico</w:t>
            </w:r>
          </w:p>
          <w:p w14:paraId="3AABB48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La nascita della moneta, le sue funzioni </w:t>
            </w:r>
            <w:r>
              <w:rPr>
                <w:rFonts w:ascii="Times New Roman" w:eastAsia="Times New Roman" w:hAnsi="Times New Roman" w:cs="Times New Roman"/>
                <w:color w:val="000000"/>
                <w:sz w:val="18"/>
                <w:szCs w:val="18"/>
              </w:rPr>
              <w:br/>
              <w:t>e il suo valore</w:t>
            </w:r>
          </w:p>
        </w:tc>
      </w:tr>
    </w:tbl>
    <w:p w14:paraId="0E3042E3" w14:textId="77777777" w:rsidR="003063FF" w:rsidRDefault="003063FF"/>
    <w:p w14:paraId="6C82B2EA" w14:textId="77777777" w:rsidR="003063FF" w:rsidRDefault="003063FF"/>
    <w:tbl>
      <w:tblPr>
        <w:tblStyle w:val="a1"/>
        <w:tblW w:w="1331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476"/>
        <w:gridCol w:w="2489"/>
        <w:gridCol w:w="5081"/>
        <w:gridCol w:w="3269"/>
      </w:tblGrid>
      <w:tr w:rsidR="003063FF" w14:paraId="0E99CD00" w14:textId="77777777">
        <w:tc>
          <w:tcPr>
            <w:tcW w:w="2476" w:type="dxa"/>
            <w:shd w:val="clear" w:color="auto" w:fill="auto"/>
            <w:tcMar>
              <w:top w:w="113" w:type="dxa"/>
              <w:left w:w="113" w:type="dxa"/>
              <w:bottom w:w="113" w:type="dxa"/>
              <w:right w:w="113" w:type="dxa"/>
            </w:tcMar>
          </w:tcPr>
          <w:p w14:paraId="6D169A8A" w14:textId="77777777" w:rsidR="003063FF" w:rsidRDefault="003063FF">
            <w:pPr>
              <w:widowControl w:val="0"/>
              <w:pBdr>
                <w:top w:val="nil"/>
                <w:left w:val="nil"/>
                <w:bottom w:val="nil"/>
                <w:right w:val="nil"/>
                <w:between w:val="nil"/>
              </w:pBdr>
              <w:spacing w:after="0" w:line="288" w:lineRule="auto"/>
              <w:ind w:left="170" w:right="113" w:hanging="170"/>
              <w:rPr>
                <w:rFonts w:ascii="Times New Roman" w:eastAsia="Times New Roman" w:hAnsi="Times New Roman" w:cs="Times New Roman"/>
                <w:color w:val="000000"/>
                <w:sz w:val="18"/>
                <w:szCs w:val="18"/>
              </w:rPr>
            </w:pPr>
          </w:p>
        </w:tc>
        <w:tc>
          <w:tcPr>
            <w:tcW w:w="2489" w:type="dxa"/>
            <w:shd w:val="clear" w:color="auto" w:fill="auto"/>
            <w:tcMar>
              <w:top w:w="113" w:type="dxa"/>
              <w:left w:w="113" w:type="dxa"/>
              <w:bottom w:w="113" w:type="dxa"/>
              <w:right w:w="113" w:type="dxa"/>
            </w:tcMar>
          </w:tcPr>
          <w:p w14:paraId="173390C1"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Competenze</w:t>
            </w:r>
          </w:p>
        </w:tc>
        <w:tc>
          <w:tcPr>
            <w:tcW w:w="5081" w:type="dxa"/>
            <w:shd w:val="clear" w:color="auto" w:fill="auto"/>
            <w:tcMar>
              <w:top w:w="113" w:type="dxa"/>
              <w:left w:w="113" w:type="dxa"/>
              <w:bottom w:w="113" w:type="dxa"/>
              <w:right w:w="113" w:type="dxa"/>
            </w:tcMar>
          </w:tcPr>
          <w:p w14:paraId="3044EFE4"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Abilità</w:t>
            </w:r>
          </w:p>
        </w:tc>
        <w:tc>
          <w:tcPr>
            <w:tcW w:w="3269" w:type="dxa"/>
            <w:shd w:val="clear" w:color="auto" w:fill="auto"/>
            <w:tcMar>
              <w:top w:w="113" w:type="dxa"/>
              <w:left w:w="113" w:type="dxa"/>
              <w:bottom w:w="113" w:type="dxa"/>
              <w:right w:w="113" w:type="dxa"/>
            </w:tcMar>
          </w:tcPr>
          <w:p w14:paraId="5FB3C502" w14:textId="77777777" w:rsidR="003063FF"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Conoscenze</w:t>
            </w:r>
          </w:p>
        </w:tc>
      </w:tr>
      <w:tr w:rsidR="003063FF" w14:paraId="453B01CF" w14:textId="77777777">
        <w:tc>
          <w:tcPr>
            <w:tcW w:w="2476" w:type="dxa"/>
            <w:shd w:val="clear" w:color="auto" w:fill="auto"/>
            <w:tcMar>
              <w:top w:w="113" w:type="dxa"/>
              <w:left w:w="113" w:type="dxa"/>
              <w:bottom w:w="113" w:type="dxa"/>
              <w:right w:w="113" w:type="dxa"/>
            </w:tcMar>
          </w:tcPr>
          <w:p w14:paraId="3D5A225C"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5 – Le famiglie e le imprese</w:t>
            </w:r>
          </w:p>
          <w:p w14:paraId="45E50773"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7E5BB36B"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1EFF1E9D"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3C46218F"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Reddito e consumo</w:t>
            </w:r>
          </w:p>
          <w:p w14:paraId="69825173"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Risparmio e investimenti</w:t>
            </w:r>
          </w:p>
          <w:p w14:paraId="477B9533"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L’attività produttiva</w:t>
            </w:r>
          </w:p>
          <w:p w14:paraId="6B1798FF"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Prodotto e reddito nazionale</w:t>
            </w:r>
          </w:p>
          <w:p w14:paraId="035555D1"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distribuzione del reddito</w:t>
            </w:r>
          </w:p>
        </w:tc>
        <w:tc>
          <w:tcPr>
            <w:tcW w:w="2489" w:type="dxa"/>
            <w:shd w:val="clear" w:color="auto" w:fill="auto"/>
            <w:tcMar>
              <w:top w:w="113" w:type="dxa"/>
              <w:left w:w="113" w:type="dxa"/>
              <w:bottom w:w="113" w:type="dxa"/>
              <w:right w:w="113" w:type="dxa"/>
            </w:tcMar>
          </w:tcPr>
          <w:p w14:paraId="7BC9EB0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Inquadrare l’economia politica come scienza che studia le decisioni prese razionalmente</w:t>
            </w:r>
          </w:p>
          <w:p w14:paraId="0C4B0714"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Riconoscere l’importanza dell’attività d’impresa nel mondo</w:t>
            </w:r>
          </w:p>
          <w:p w14:paraId="355B3B0C"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Sapersi orientare con spirito attento </w:t>
            </w:r>
            <w:r>
              <w:rPr>
                <w:rFonts w:ascii="Times New Roman" w:eastAsia="Times New Roman" w:hAnsi="Times New Roman" w:cs="Times New Roman"/>
                <w:color w:val="000000"/>
                <w:sz w:val="18"/>
                <w:szCs w:val="18"/>
              </w:rPr>
              <w:br/>
              <w:t>e critico verso i criteri secondo cui viene distribuito il reddito, a livello sia nazionale sia internazionale</w:t>
            </w:r>
          </w:p>
        </w:tc>
        <w:tc>
          <w:tcPr>
            <w:tcW w:w="5081" w:type="dxa"/>
            <w:shd w:val="clear" w:color="auto" w:fill="auto"/>
            <w:tcMar>
              <w:top w:w="113" w:type="dxa"/>
              <w:left w:w="113" w:type="dxa"/>
              <w:bottom w:w="113" w:type="dxa"/>
              <w:right w:w="113" w:type="dxa"/>
            </w:tcMar>
          </w:tcPr>
          <w:p w14:paraId="07F4F85B" w14:textId="77777777" w:rsidR="003063FF" w:rsidRDefault="00000000">
            <w:pPr>
              <w:widowControl w:val="0"/>
              <w:pBdr>
                <w:top w:val="nil"/>
                <w:left w:val="nil"/>
                <w:bottom w:val="nil"/>
                <w:right w:val="nil"/>
                <w:between w:val="nil"/>
              </w:pBdr>
              <w:tabs>
                <w:tab w:val="left" w:pos="709"/>
                <w:tab w:val="left" w:pos="1418"/>
                <w:tab w:val="left" w:pos="2127"/>
                <w:tab w:val="left" w:pos="3013"/>
              </w:tabs>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Individuare le fonti del reddito e comprendere gli effetti dell’aumento dei prezzi sul potere d’acquisto</w:t>
            </w:r>
          </w:p>
          <w:p w14:paraId="5BE868F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la tendenza al consumismo propria della nostra epoca</w:t>
            </w:r>
          </w:p>
          <w:p w14:paraId="7E109902"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Riconoscere i vantaggi che possono derivare da determinate forme di investimento rispetto ad altre</w:t>
            </w:r>
          </w:p>
          <w:p w14:paraId="5DCADF88"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in che cosa consiste l’impresa e individuare le attività necessarie per avviarla</w:t>
            </w:r>
          </w:p>
          <w:p w14:paraId="4AEE3D5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Individuare i raggruppamenti fatti dalla scienza economica in relazione agli elementi necessari per svolgere un’attività imprenditoriale</w:t>
            </w:r>
          </w:p>
          <w:p w14:paraId="30B44A1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Saper valutare il comportamento e le scelte adottate da un’impresa, tenendo conto dei costi produttivi</w:t>
            </w:r>
          </w:p>
          <w:p w14:paraId="0F8BF8A7"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in grado di interpretare e commentare dati e grafici relativi alla ricchezza nazionale</w:t>
            </w:r>
          </w:p>
          <w:p w14:paraId="07CEE867"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Riconoscere che creare un mondo socialmente più equilibrato è possibile con un’equa distribuzione del reddito</w:t>
            </w:r>
          </w:p>
        </w:tc>
        <w:tc>
          <w:tcPr>
            <w:tcW w:w="3269" w:type="dxa"/>
            <w:shd w:val="clear" w:color="auto" w:fill="auto"/>
            <w:tcMar>
              <w:top w:w="113" w:type="dxa"/>
              <w:left w:w="113" w:type="dxa"/>
              <w:bottom w:w="113" w:type="dxa"/>
              <w:right w:w="113" w:type="dxa"/>
            </w:tcMar>
          </w:tcPr>
          <w:p w14:paraId="27B660B5"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fonti del reddito</w:t>
            </w:r>
          </w:p>
          <w:p w14:paraId="1AA8B674"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fattori del consumo e del risparmio</w:t>
            </w:r>
          </w:p>
          <w:p w14:paraId="556C4A8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Beni rifugio, azioni, obbligazioni, titoli pubblici e fondi comuni</w:t>
            </w:r>
          </w:p>
          <w:p w14:paraId="36749E7F"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Impresa, start up e attività produttiva</w:t>
            </w:r>
          </w:p>
          <w:p w14:paraId="32F14C7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Natura, lavoro, capitale e Stato</w:t>
            </w:r>
          </w:p>
          <w:p w14:paraId="6E0F8BB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Costi fissi e variabili; il profitto</w:t>
            </w:r>
          </w:p>
          <w:p w14:paraId="6570739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prodotto interno lordo, il reddito nazionale e il benessere interno lordo</w:t>
            </w:r>
          </w:p>
          <w:p w14:paraId="260FBFBA"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L’importanza dell’equità </w:t>
            </w:r>
            <w:r>
              <w:rPr>
                <w:rFonts w:ascii="Times New Roman" w:eastAsia="Times New Roman" w:hAnsi="Times New Roman" w:cs="Times New Roman"/>
                <w:color w:val="000000"/>
                <w:sz w:val="18"/>
                <w:szCs w:val="18"/>
              </w:rPr>
              <w:br/>
              <w:t xml:space="preserve">nella distribuzione del reddito al fine </w:t>
            </w:r>
            <w:r>
              <w:rPr>
                <w:rFonts w:ascii="Times New Roman" w:eastAsia="Times New Roman" w:hAnsi="Times New Roman" w:cs="Times New Roman"/>
                <w:color w:val="000000"/>
                <w:sz w:val="18"/>
                <w:szCs w:val="18"/>
              </w:rPr>
              <w:br/>
              <w:t>di un omogeneo sviluppo umano</w:t>
            </w:r>
          </w:p>
        </w:tc>
      </w:tr>
      <w:tr w:rsidR="003063FF" w14:paraId="435A3CA4" w14:textId="77777777">
        <w:tc>
          <w:tcPr>
            <w:tcW w:w="2476" w:type="dxa"/>
            <w:shd w:val="clear" w:color="auto" w:fill="auto"/>
            <w:tcMar>
              <w:top w:w="113" w:type="dxa"/>
              <w:left w:w="113" w:type="dxa"/>
              <w:bottom w:w="113" w:type="dxa"/>
              <w:right w:w="113" w:type="dxa"/>
            </w:tcMar>
          </w:tcPr>
          <w:p w14:paraId="03C147BB"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6 – Stato e mercato</w:t>
            </w:r>
          </w:p>
          <w:p w14:paraId="28E98922"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223E99AC"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569A176D"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7081966C"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mercato e il suo funzionamento</w:t>
            </w:r>
          </w:p>
          <w:p w14:paraId="3674A7AB"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Lo Stato come soggetto economico</w:t>
            </w:r>
          </w:p>
          <w:p w14:paraId="64683687"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resto del mondo</w:t>
            </w:r>
          </w:p>
          <w:p w14:paraId="72CC4C61" w14:textId="77777777" w:rsidR="00C25CA7" w:rsidRDefault="00C25CA7">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p>
          <w:p w14:paraId="34511D78" w14:textId="05602DC1" w:rsidR="00C25CA7" w:rsidRPr="00C25CA7" w:rsidRDefault="00C25CA7" w:rsidP="00C25CA7">
            <w:pPr>
              <w:pStyle w:val="Paragrafoelenco"/>
              <w:numPr>
                <w:ilvl w:val="0"/>
                <w:numId w:val="4"/>
              </w:numPr>
              <w:pBdr>
                <w:top w:val="nil"/>
                <w:left w:val="nil"/>
                <w:bottom w:val="nil"/>
                <w:right w:val="nil"/>
                <w:between w:val="nil"/>
              </w:pBdr>
              <w:spacing w:after="80" w:line="288" w:lineRule="auto"/>
              <w:ind w:left="164" w:right="113" w:hanging="14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Lo sport come settore economico e sociale </w:t>
            </w:r>
          </w:p>
        </w:tc>
        <w:tc>
          <w:tcPr>
            <w:tcW w:w="2489" w:type="dxa"/>
            <w:shd w:val="clear" w:color="auto" w:fill="auto"/>
            <w:tcMar>
              <w:top w:w="113" w:type="dxa"/>
              <w:left w:w="113" w:type="dxa"/>
              <w:bottom w:w="113" w:type="dxa"/>
              <w:right w:w="113" w:type="dxa"/>
            </w:tcMar>
          </w:tcPr>
          <w:p w14:paraId="26E44FF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le dinamiche del mercato, soprattutto i meccanismi di causa/effetto esistenti tra domanda, offerta e prezzi</w:t>
            </w:r>
          </w:p>
          <w:p w14:paraId="1FDCD2F5"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i possibili effetti dell’intervento pubblico in economia, valutando la delicatezza delle scelte dello Stato e individuando i benefici sociali che esse possono apportare</w:t>
            </w:r>
          </w:p>
          <w:p w14:paraId="7595D020"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Elaborare proposte personali volte a favorire una più equa distribuzione delle risorse a livello mondiale</w:t>
            </w:r>
          </w:p>
        </w:tc>
        <w:tc>
          <w:tcPr>
            <w:tcW w:w="5081" w:type="dxa"/>
            <w:shd w:val="clear" w:color="auto" w:fill="auto"/>
            <w:tcMar>
              <w:top w:w="113" w:type="dxa"/>
              <w:left w:w="113" w:type="dxa"/>
              <w:bottom w:w="113" w:type="dxa"/>
              <w:right w:w="113" w:type="dxa"/>
            </w:tcMar>
          </w:tcPr>
          <w:p w14:paraId="0F5E54A3"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Saper valutare il prezzo come elemento condizionante il livello della domanda e dell’offerta</w:t>
            </w:r>
          </w:p>
          <w:p w14:paraId="30E1B22E"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le diverse dinamiche concorrenziali nelle forme di mercato esistenti</w:t>
            </w:r>
          </w:p>
          <w:p w14:paraId="5D7D54B1"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in grado di valutare la complessità dell’azione del Governo quando deve occuparsi di programmazione economica</w:t>
            </w:r>
          </w:p>
          <w:p w14:paraId="2C26FD2B" w14:textId="77777777" w:rsidR="003063FF" w:rsidRDefault="00000000">
            <w:pPr>
              <w:widowControl w:val="0"/>
              <w:pBdr>
                <w:top w:val="nil"/>
                <w:left w:val="nil"/>
                <w:bottom w:val="nil"/>
                <w:right w:val="nil"/>
                <w:between w:val="nil"/>
              </w:pBdr>
              <w:spacing w:after="80" w:line="288" w:lineRule="auto"/>
              <w:ind w:left="170" w:right="113" w:hanging="170"/>
              <w:rPr>
                <w:rFonts w:ascii="1" w:eastAsia="1" w:hAnsi="1" w:cs="1"/>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r>
            <w:r>
              <w:rPr>
                <w:rFonts w:ascii="1" w:eastAsia="1" w:hAnsi="1" w:cs="1"/>
                <w:color w:val="000000"/>
                <w:sz w:val="18"/>
                <w:szCs w:val="18"/>
              </w:rPr>
              <w:t>Individuare i vantaggi e gli svantaggi propri del liberismo e del protezionismo</w:t>
            </w:r>
          </w:p>
          <w:p w14:paraId="6ECB1F8D"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1" w:eastAsia="1" w:hAnsi="1" w:cs="1"/>
                <w:color w:val="000000"/>
                <w:sz w:val="18"/>
                <w:szCs w:val="18"/>
              </w:rPr>
              <w:t>•</w:t>
            </w:r>
            <w:r>
              <w:rPr>
                <w:rFonts w:ascii="1" w:eastAsia="1" w:hAnsi="1" w:cs="1"/>
                <w:color w:val="000000"/>
                <w:sz w:val="18"/>
                <w:szCs w:val="18"/>
              </w:rPr>
              <w:tab/>
              <w:t>Saper collegare l’andamento dei cambi all’economia di uno Stato e ai conti pubblici</w:t>
            </w:r>
          </w:p>
        </w:tc>
        <w:tc>
          <w:tcPr>
            <w:tcW w:w="3269" w:type="dxa"/>
            <w:shd w:val="clear" w:color="auto" w:fill="auto"/>
            <w:tcMar>
              <w:top w:w="113" w:type="dxa"/>
              <w:left w:w="113" w:type="dxa"/>
              <w:bottom w:w="113" w:type="dxa"/>
              <w:right w:w="113" w:type="dxa"/>
            </w:tcMar>
          </w:tcPr>
          <w:p w14:paraId="018668A0"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rapporti esistenti tra prezzo, domanda e offerta</w:t>
            </w:r>
          </w:p>
          <w:p w14:paraId="1C68741B"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principali differenze tra monopolio, oligopolio e concorrenza imperfetta</w:t>
            </w:r>
          </w:p>
          <w:p w14:paraId="6E3AE934"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 meccanismi e il funzionamento </w:t>
            </w:r>
            <w:r>
              <w:rPr>
                <w:rFonts w:ascii="Times New Roman" w:eastAsia="Times New Roman" w:hAnsi="Times New Roman" w:cs="Times New Roman"/>
                <w:color w:val="000000"/>
                <w:sz w:val="18"/>
                <w:szCs w:val="18"/>
              </w:rPr>
              <w:br/>
              <w:t>della Borsa valori</w:t>
            </w:r>
          </w:p>
          <w:p w14:paraId="65115A7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ruolo dello Stato nell’economia</w:t>
            </w:r>
          </w:p>
          <w:p w14:paraId="65C8CFD0"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origini storiche dei rapporti internazionali</w:t>
            </w:r>
          </w:p>
          <w:p w14:paraId="63D94211"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 principi del libero scambio </w:t>
            </w:r>
            <w:r>
              <w:rPr>
                <w:rFonts w:ascii="Times New Roman" w:eastAsia="Times New Roman" w:hAnsi="Times New Roman" w:cs="Times New Roman"/>
                <w:color w:val="000000"/>
                <w:sz w:val="18"/>
                <w:szCs w:val="18"/>
              </w:rPr>
              <w:br/>
              <w:t>e del protezionismo</w:t>
            </w:r>
          </w:p>
          <w:p w14:paraId="20C86869" w14:textId="77777777" w:rsidR="003063FF"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Il funzionamento dei regimi </w:t>
            </w:r>
            <w:r>
              <w:rPr>
                <w:rFonts w:ascii="Times New Roman" w:eastAsia="Times New Roman" w:hAnsi="Times New Roman" w:cs="Times New Roman"/>
                <w:color w:val="000000"/>
                <w:sz w:val="18"/>
                <w:szCs w:val="18"/>
              </w:rPr>
              <w:br/>
              <w:t>di cambio monetario</w:t>
            </w:r>
          </w:p>
        </w:tc>
      </w:tr>
    </w:tbl>
    <w:p w14:paraId="77D537C4" w14:textId="77777777" w:rsidR="003063FF" w:rsidRDefault="003063FF">
      <w:pPr>
        <w:widowControl w:val="0"/>
        <w:pBdr>
          <w:top w:val="nil"/>
          <w:left w:val="nil"/>
          <w:bottom w:val="nil"/>
          <w:right w:val="nil"/>
          <w:between w:val="nil"/>
        </w:pBdr>
        <w:tabs>
          <w:tab w:val="left" w:pos="920"/>
        </w:tabs>
        <w:spacing w:after="0" w:line="288" w:lineRule="auto"/>
        <w:rPr>
          <w:rFonts w:ascii="Times New Roman" w:eastAsia="Times New Roman" w:hAnsi="Times New Roman" w:cs="Times New Roman"/>
          <w:color w:val="000000"/>
          <w:sz w:val="24"/>
          <w:szCs w:val="24"/>
        </w:rPr>
      </w:pPr>
    </w:p>
    <w:p w14:paraId="49C95263" w14:textId="77777777" w:rsidR="003063FF" w:rsidRDefault="003063FF">
      <w:pPr>
        <w:widowControl w:val="0"/>
        <w:pBdr>
          <w:top w:val="nil"/>
          <w:left w:val="nil"/>
          <w:bottom w:val="nil"/>
          <w:right w:val="nil"/>
          <w:between w:val="nil"/>
        </w:pBdr>
        <w:tabs>
          <w:tab w:val="left" w:pos="920"/>
        </w:tabs>
        <w:spacing w:after="0" w:line="288" w:lineRule="auto"/>
        <w:rPr>
          <w:rFonts w:ascii="Times New Roman" w:eastAsia="Times New Roman" w:hAnsi="Times New Roman" w:cs="Times New Roman"/>
          <w:color w:val="000000"/>
          <w:sz w:val="24"/>
          <w:szCs w:val="24"/>
        </w:rPr>
      </w:pPr>
    </w:p>
    <w:p w14:paraId="4B6A874A" w14:textId="77777777" w:rsidR="003063FF" w:rsidRDefault="003063FF">
      <w:pPr>
        <w:widowControl w:val="0"/>
        <w:pBdr>
          <w:top w:val="nil"/>
          <w:left w:val="nil"/>
          <w:bottom w:val="nil"/>
          <w:right w:val="nil"/>
          <w:between w:val="nil"/>
        </w:pBdr>
        <w:tabs>
          <w:tab w:val="left" w:pos="920"/>
        </w:tabs>
        <w:spacing w:after="0" w:line="288" w:lineRule="auto"/>
        <w:rPr>
          <w:rFonts w:ascii="Times New Roman" w:eastAsia="Times New Roman" w:hAnsi="Times New Roman" w:cs="Times New Roman"/>
          <w:color w:val="000000"/>
          <w:sz w:val="24"/>
          <w:szCs w:val="24"/>
        </w:rPr>
      </w:pPr>
    </w:p>
    <w:p w14:paraId="50D50E3A" w14:textId="77777777" w:rsidR="003063FF" w:rsidRDefault="003063FF">
      <w:pPr>
        <w:widowControl w:val="0"/>
        <w:pBdr>
          <w:top w:val="nil"/>
          <w:left w:val="nil"/>
          <w:bottom w:val="nil"/>
          <w:right w:val="nil"/>
          <w:between w:val="nil"/>
        </w:pBdr>
        <w:tabs>
          <w:tab w:val="left" w:pos="920"/>
        </w:tabs>
        <w:spacing w:after="0" w:line="288" w:lineRule="auto"/>
        <w:rPr>
          <w:rFonts w:ascii="Times New Roman" w:eastAsia="Times New Roman" w:hAnsi="Times New Roman" w:cs="Times New Roman"/>
          <w:color w:val="000000"/>
          <w:sz w:val="24"/>
          <w:szCs w:val="24"/>
        </w:rPr>
      </w:pPr>
    </w:p>
    <w:tbl>
      <w:tblPr>
        <w:tblStyle w:val="a2"/>
        <w:tblW w:w="13326"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333"/>
        <w:gridCol w:w="3332"/>
        <w:gridCol w:w="3329"/>
        <w:gridCol w:w="3332"/>
      </w:tblGrid>
      <w:tr w:rsidR="003063FF" w14:paraId="06CD692B" w14:textId="77777777">
        <w:trPr>
          <w:trHeight w:val="60"/>
        </w:trPr>
        <w:tc>
          <w:tcPr>
            <w:tcW w:w="3333" w:type="dxa"/>
            <w:shd w:val="clear" w:color="auto" w:fill="auto"/>
            <w:tcMar>
              <w:top w:w="113" w:type="dxa"/>
              <w:left w:w="113" w:type="dxa"/>
              <w:bottom w:w="113" w:type="dxa"/>
              <w:right w:w="113" w:type="dxa"/>
            </w:tcMar>
          </w:tcPr>
          <w:p w14:paraId="188FB9F0" w14:textId="77777777" w:rsidR="003063FF" w:rsidRDefault="003063FF">
            <w:pPr>
              <w:widowControl w:val="0"/>
              <w:pBdr>
                <w:top w:val="nil"/>
                <w:left w:val="nil"/>
                <w:bottom w:val="nil"/>
                <w:right w:val="nil"/>
                <w:between w:val="nil"/>
              </w:pBdr>
              <w:spacing w:after="0" w:line="288" w:lineRule="auto"/>
              <w:rPr>
                <w:rFonts w:ascii="Times New Roman" w:eastAsia="Times New Roman" w:hAnsi="Times New Roman" w:cs="Times New Roman"/>
                <w:color w:val="000000"/>
                <w:sz w:val="24"/>
                <w:szCs w:val="24"/>
              </w:rPr>
            </w:pPr>
          </w:p>
        </w:tc>
        <w:tc>
          <w:tcPr>
            <w:tcW w:w="3332" w:type="dxa"/>
            <w:shd w:val="clear" w:color="auto" w:fill="auto"/>
            <w:tcMar>
              <w:top w:w="113" w:type="dxa"/>
              <w:left w:w="113" w:type="dxa"/>
              <w:bottom w:w="113" w:type="dxa"/>
              <w:right w:w="113" w:type="dxa"/>
            </w:tcMar>
          </w:tcPr>
          <w:p w14:paraId="5CDCF11F" w14:textId="77777777" w:rsidR="003063FF" w:rsidRDefault="00000000">
            <w:pPr>
              <w:widowControl w:val="0"/>
              <w:pBdr>
                <w:top w:val="nil"/>
                <w:left w:val="nil"/>
                <w:bottom w:val="nil"/>
                <w:right w:val="nil"/>
                <w:between w:val="nil"/>
              </w:pBdr>
              <w:tabs>
                <w:tab w:val="left" w:pos="1701"/>
              </w:tabs>
              <w:spacing w:after="0" w:line="288" w:lineRule="auto"/>
              <w:ind w:left="57"/>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Competenze</w:t>
            </w:r>
          </w:p>
        </w:tc>
        <w:tc>
          <w:tcPr>
            <w:tcW w:w="3329" w:type="dxa"/>
            <w:shd w:val="clear" w:color="auto" w:fill="auto"/>
            <w:tcMar>
              <w:top w:w="113" w:type="dxa"/>
              <w:left w:w="113" w:type="dxa"/>
              <w:bottom w:w="113" w:type="dxa"/>
              <w:right w:w="113" w:type="dxa"/>
            </w:tcMar>
          </w:tcPr>
          <w:p w14:paraId="231B104C" w14:textId="77777777" w:rsidR="003063FF" w:rsidRDefault="00000000">
            <w:pPr>
              <w:widowControl w:val="0"/>
              <w:pBdr>
                <w:top w:val="nil"/>
                <w:left w:val="nil"/>
                <w:bottom w:val="nil"/>
                <w:right w:val="nil"/>
                <w:between w:val="nil"/>
              </w:pBdr>
              <w:tabs>
                <w:tab w:val="left" w:pos="1701"/>
              </w:tabs>
              <w:spacing w:after="0" w:line="288" w:lineRule="auto"/>
              <w:ind w:left="57"/>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 xml:space="preserve">Abilità </w:t>
            </w:r>
          </w:p>
        </w:tc>
        <w:tc>
          <w:tcPr>
            <w:tcW w:w="3332" w:type="dxa"/>
            <w:shd w:val="clear" w:color="auto" w:fill="auto"/>
            <w:tcMar>
              <w:top w:w="113" w:type="dxa"/>
              <w:left w:w="113" w:type="dxa"/>
              <w:bottom w:w="113" w:type="dxa"/>
              <w:right w:w="113" w:type="dxa"/>
            </w:tcMar>
          </w:tcPr>
          <w:p w14:paraId="604D0BE0" w14:textId="77777777" w:rsidR="003063FF" w:rsidRDefault="00000000">
            <w:pPr>
              <w:widowControl w:val="0"/>
              <w:pBdr>
                <w:top w:val="nil"/>
                <w:left w:val="nil"/>
                <w:bottom w:val="nil"/>
                <w:right w:val="nil"/>
                <w:between w:val="nil"/>
              </w:pBdr>
              <w:tabs>
                <w:tab w:val="left" w:pos="1701"/>
              </w:tabs>
              <w:spacing w:after="0" w:line="288" w:lineRule="auto"/>
              <w:ind w:left="57"/>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Conoscenze</w:t>
            </w:r>
          </w:p>
        </w:tc>
      </w:tr>
      <w:tr w:rsidR="003063FF" w14:paraId="2D79C35F" w14:textId="77777777">
        <w:trPr>
          <w:trHeight w:val="3231"/>
        </w:trPr>
        <w:tc>
          <w:tcPr>
            <w:tcW w:w="3333" w:type="dxa"/>
            <w:shd w:val="clear" w:color="auto" w:fill="auto"/>
            <w:tcMar>
              <w:top w:w="113" w:type="dxa"/>
              <w:left w:w="113" w:type="dxa"/>
              <w:bottom w:w="113" w:type="dxa"/>
              <w:right w:w="113" w:type="dxa"/>
            </w:tcMar>
          </w:tcPr>
          <w:p w14:paraId="11485377"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Modulo 7 – Il mercato del lavoro </w:t>
            </w:r>
            <w:r>
              <w:rPr>
                <w:rFonts w:ascii="Times New Roman" w:eastAsia="Times New Roman" w:hAnsi="Times New Roman" w:cs="Times New Roman"/>
                <w:b/>
                <w:color w:val="000000"/>
                <w:sz w:val="18"/>
                <w:szCs w:val="18"/>
              </w:rPr>
              <w:br/>
              <w:t>e il mercato della moneta</w:t>
            </w:r>
          </w:p>
          <w:p w14:paraId="1EB6C297"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6453E3D5" w14:textId="77777777" w:rsidR="003063FF"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01585F70" w14:textId="77777777" w:rsidR="003063FF" w:rsidRDefault="003063FF">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3652053C"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mercato del lavoro</w:t>
            </w:r>
          </w:p>
          <w:p w14:paraId="039F9576"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Occupazione e disoccupazione</w:t>
            </w:r>
          </w:p>
          <w:p w14:paraId="1C357376"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domanda e l’offerta di moneta</w:t>
            </w:r>
          </w:p>
          <w:p w14:paraId="499B340F"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credito e le banche</w:t>
            </w:r>
          </w:p>
          <w:p w14:paraId="6228F425" w14:textId="77777777" w:rsidR="003063FF"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Borsa valori</w:t>
            </w:r>
          </w:p>
          <w:p w14:paraId="582B2155" w14:textId="77777777" w:rsidR="003063FF" w:rsidRDefault="00000000">
            <w:pPr>
              <w:widowControl w:val="0"/>
              <w:pBdr>
                <w:top w:val="nil"/>
                <w:left w:val="nil"/>
                <w:bottom w:val="nil"/>
                <w:right w:val="nil"/>
                <w:between w:val="nil"/>
              </w:pBdr>
              <w:spacing w:after="80" w:line="288" w:lineRule="auto"/>
              <w:ind w:right="113"/>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 xml:space="preserve"> – L’inflazione</w:t>
            </w:r>
          </w:p>
        </w:tc>
        <w:tc>
          <w:tcPr>
            <w:tcW w:w="3332" w:type="dxa"/>
            <w:shd w:val="clear" w:color="auto" w:fill="auto"/>
            <w:tcMar>
              <w:top w:w="113" w:type="dxa"/>
              <w:left w:w="113" w:type="dxa"/>
              <w:bottom w:w="113" w:type="dxa"/>
              <w:right w:w="113" w:type="dxa"/>
            </w:tcMar>
          </w:tcPr>
          <w:p w14:paraId="09AA9751"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Utilizzare il lessico essenziale dell’economia</w:t>
            </w:r>
          </w:p>
          <w:p w14:paraId="707BC54E"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con obiettività gli interventi governativi e parlamentari attuati e in via di attuazione allo scopo di incrementare l’occupazione</w:t>
            </w:r>
          </w:p>
          <w:p w14:paraId="574D3B18"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Valutare il ruolo di intermediazione </w:t>
            </w:r>
            <w:r>
              <w:rPr>
                <w:rFonts w:ascii="Times New Roman" w:eastAsia="Times New Roman" w:hAnsi="Times New Roman" w:cs="Times New Roman"/>
                <w:color w:val="000000"/>
                <w:sz w:val="18"/>
                <w:szCs w:val="18"/>
              </w:rPr>
              <w:br/>
              <w:t xml:space="preserve">del credito svolto dalle banche, fondamentale per la crescita produttiva </w:t>
            </w:r>
            <w:r>
              <w:rPr>
                <w:rFonts w:ascii="Times New Roman" w:eastAsia="Times New Roman" w:hAnsi="Times New Roman" w:cs="Times New Roman"/>
                <w:color w:val="000000"/>
                <w:sz w:val="18"/>
                <w:szCs w:val="18"/>
              </w:rPr>
              <w:br/>
              <w:t>e occupazionale</w:t>
            </w:r>
          </w:p>
          <w:p w14:paraId="48E0E800" w14:textId="77777777" w:rsidR="003063FF" w:rsidRDefault="00000000">
            <w:pPr>
              <w:widowControl w:val="0"/>
              <w:pBdr>
                <w:top w:val="nil"/>
                <w:left w:val="nil"/>
                <w:bottom w:val="nil"/>
                <w:right w:val="nil"/>
                <w:between w:val="nil"/>
              </w:pBdr>
              <w:spacing w:after="80" w:line="288" w:lineRule="auto"/>
              <w:ind w:left="227" w:right="57"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gli effetti degli interventi adottati dalle autorità monetarie allo scopo di favorire l’equilibrio non solo economico, ma anche sociale</w:t>
            </w:r>
          </w:p>
        </w:tc>
        <w:tc>
          <w:tcPr>
            <w:tcW w:w="3329" w:type="dxa"/>
            <w:shd w:val="clear" w:color="auto" w:fill="auto"/>
            <w:tcMar>
              <w:top w:w="113" w:type="dxa"/>
              <w:left w:w="113" w:type="dxa"/>
              <w:bottom w:w="113" w:type="dxa"/>
              <w:right w:w="113" w:type="dxa"/>
            </w:tcMar>
          </w:tcPr>
          <w:p w14:paraId="7731317F"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Comprendere la differenza tra domanda </w:t>
            </w:r>
            <w:r>
              <w:rPr>
                <w:rFonts w:ascii="Times New Roman" w:eastAsia="Times New Roman" w:hAnsi="Times New Roman" w:cs="Times New Roman"/>
                <w:color w:val="000000"/>
                <w:sz w:val="18"/>
                <w:szCs w:val="18"/>
              </w:rPr>
              <w:br/>
              <w:t>e offerta di lavoro</w:t>
            </w:r>
          </w:p>
          <w:p w14:paraId="3544CBC0"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Essere consapevoli dell’importanza </w:t>
            </w:r>
            <w:r>
              <w:rPr>
                <w:rFonts w:ascii="Times New Roman" w:eastAsia="Times New Roman" w:hAnsi="Times New Roman" w:cs="Times New Roman"/>
                <w:color w:val="000000"/>
                <w:sz w:val="18"/>
                <w:szCs w:val="18"/>
              </w:rPr>
              <w:br/>
              <w:t>della contrattazione sindacale</w:t>
            </w:r>
          </w:p>
          <w:p w14:paraId="2B494CE8"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Saper cogliere le problematiche, </w:t>
            </w:r>
            <w:r>
              <w:rPr>
                <w:rFonts w:ascii="Times New Roman" w:eastAsia="Times New Roman" w:hAnsi="Times New Roman" w:cs="Times New Roman"/>
                <w:color w:val="000000"/>
                <w:sz w:val="18"/>
                <w:szCs w:val="18"/>
              </w:rPr>
              <w:br/>
              <w:t xml:space="preserve">sia economiche sia sociali, connesse </w:t>
            </w:r>
            <w:r>
              <w:rPr>
                <w:rFonts w:ascii="Times New Roman" w:eastAsia="Times New Roman" w:hAnsi="Times New Roman" w:cs="Times New Roman"/>
                <w:color w:val="000000"/>
                <w:sz w:val="18"/>
                <w:szCs w:val="18"/>
              </w:rPr>
              <w:br/>
              <w:t>alla disoccupazione</w:t>
            </w:r>
          </w:p>
          <w:p w14:paraId="3618370D"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il valore del Sistema europeo delle banche centrali, basilare per il rafforzamento economico dei Paesi dell’area euro</w:t>
            </w:r>
          </w:p>
          <w:p w14:paraId="5A04AE3C" w14:textId="77777777" w:rsidR="003063FF" w:rsidRDefault="00000000">
            <w:pPr>
              <w:widowControl w:val="0"/>
              <w:pBdr>
                <w:top w:val="nil"/>
                <w:left w:val="nil"/>
                <w:bottom w:val="nil"/>
                <w:right w:val="nil"/>
                <w:between w:val="nil"/>
              </w:pBdr>
              <w:spacing w:after="80" w:line="288" w:lineRule="auto"/>
              <w:ind w:left="227" w:right="57"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Cogliere l’importanza dell’adozione </w:t>
            </w:r>
            <w:r>
              <w:rPr>
                <w:rFonts w:ascii="Times New Roman" w:eastAsia="Times New Roman" w:hAnsi="Times New Roman" w:cs="Times New Roman"/>
                <w:color w:val="000000"/>
                <w:sz w:val="18"/>
                <w:szCs w:val="18"/>
              </w:rPr>
              <w:br/>
              <w:t xml:space="preserve">di adeguate politiche </w:t>
            </w:r>
            <w:proofErr w:type="gramStart"/>
            <w:r>
              <w:rPr>
                <w:rFonts w:ascii="Times New Roman" w:eastAsia="Times New Roman" w:hAnsi="Times New Roman" w:cs="Times New Roman"/>
                <w:color w:val="000000"/>
                <w:sz w:val="18"/>
                <w:szCs w:val="18"/>
              </w:rPr>
              <w:t>anti-inflazionistiche</w:t>
            </w:r>
            <w:proofErr w:type="gramEnd"/>
            <w:r>
              <w:rPr>
                <w:rFonts w:ascii="Times New Roman" w:eastAsia="Times New Roman" w:hAnsi="Times New Roman" w:cs="Times New Roman"/>
                <w:color w:val="000000"/>
                <w:sz w:val="18"/>
                <w:szCs w:val="18"/>
              </w:rPr>
              <w:t xml:space="preserve"> da parte del Governo</w:t>
            </w:r>
          </w:p>
        </w:tc>
        <w:tc>
          <w:tcPr>
            <w:tcW w:w="3332" w:type="dxa"/>
            <w:shd w:val="clear" w:color="auto" w:fill="auto"/>
            <w:tcMar>
              <w:top w:w="113" w:type="dxa"/>
              <w:left w:w="113" w:type="dxa"/>
              <w:bottom w:w="113" w:type="dxa"/>
              <w:right w:w="113" w:type="dxa"/>
            </w:tcMar>
          </w:tcPr>
          <w:p w14:paraId="009D1CB3"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soggetti del mercato del lavoro</w:t>
            </w:r>
          </w:p>
          <w:p w14:paraId="2662BDE5"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ruolo dei sindacati e i contratti collettivi</w:t>
            </w:r>
          </w:p>
          <w:p w14:paraId="351BBCE1"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cause e gli effetti della disoccupazione</w:t>
            </w:r>
          </w:p>
          <w:p w14:paraId="0429DC0C"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 fattori che influiscono sulla domanda </w:t>
            </w:r>
            <w:r>
              <w:rPr>
                <w:rFonts w:ascii="Times New Roman" w:eastAsia="Times New Roman" w:hAnsi="Times New Roman" w:cs="Times New Roman"/>
                <w:color w:val="000000"/>
                <w:sz w:val="18"/>
                <w:szCs w:val="18"/>
              </w:rPr>
              <w:br/>
              <w:t>e sull’offerta di moneta</w:t>
            </w:r>
          </w:p>
          <w:p w14:paraId="54EB5B16" w14:textId="77777777" w:rsidR="003063FF" w:rsidRDefault="00000000">
            <w:pPr>
              <w:widowControl w:val="0"/>
              <w:pBdr>
                <w:top w:val="nil"/>
                <w:left w:val="nil"/>
                <w:bottom w:val="nil"/>
                <w:right w:val="nil"/>
                <w:between w:val="nil"/>
              </w:pBdr>
              <w:spacing w:after="80" w:line="288" w:lineRule="auto"/>
              <w:ind w:left="227" w:right="57"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La funzione del credito e le funzioni </w:t>
            </w:r>
            <w:r>
              <w:rPr>
                <w:rFonts w:ascii="Times New Roman" w:eastAsia="Times New Roman" w:hAnsi="Times New Roman" w:cs="Times New Roman"/>
                <w:color w:val="000000"/>
                <w:sz w:val="18"/>
                <w:szCs w:val="18"/>
              </w:rPr>
              <w:br/>
              <w:t>delle banche</w:t>
            </w:r>
          </w:p>
          <w:p w14:paraId="64124F51" w14:textId="77777777" w:rsidR="003063FF" w:rsidRDefault="00000000">
            <w:pPr>
              <w:widowControl w:val="0"/>
              <w:pBdr>
                <w:top w:val="nil"/>
                <w:left w:val="nil"/>
                <w:bottom w:val="nil"/>
                <w:right w:val="nil"/>
                <w:between w:val="nil"/>
              </w:pBdr>
              <w:spacing w:after="80" w:line="288" w:lineRule="auto"/>
              <w:ind w:left="227" w:right="57"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cause e gli effetti dell’inflazione</w:t>
            </w:r>
          </w:p>
        </w:tc>
      </w:tr>
    </w:tbl>
    <w:p w14:paraId="3348F166" w14:textId="77777777" w:rsidR="003063FF" w:rsidRDefault="003063FF">
      <w:pPr>
        <w:widowControl w:val="0"/>
        <w:pBdr>
          <w:top w:val="nil"/>
          <w:left w:val="nil"/>
          <w:bottom w:val="nil"/>
          <w:right w:val="nil"/>
          <w:between w:val="nil"/>
        </w:pBdr>
        <w:spacing w:after="0" w:line="288" w:lineRule="auto"/>
        <w:rPr>
          <w:rFonts w:ascii="Times New Roman" w:eastAsia="Times New Roman" w:hAnsi="Times New Roman" w:cs="Times New Roman"/>
          <w:color w:val="000000"/>
          <w:sz w:val="24"/>
          <w:szCs w:val="24"/>
        </w:rPr>
      </w:pPr>
    </w:p>
    <w:p w14:paraId="1061A063" w14:textId="77777777" w:rsidR="003063FF" w:rsidRDefault="00000000">
      <w:pPr>
        <w:widowControl w:val="0"/>
        <w:pBdr>
          <w:top w:val="nil"/>
          <w:left w:val="nil"/>
          <w:bottom w:val="nil"/>
          <w:right w:val="nil"/>
          <w:between w:val="nil"/>
        </w:pBdr>
        <w:spacing w:after="0" w:line="288" w:lineRule="auto"/>
        <w:rPr>
          <w:rFonts w:ascii="Times New Roman" w:eastAsia="Times New Roman" w:hAnsi="Times New Roman" w:cs="Times New Roman"/>
          <w:color w:val="000000"/>
          <w:sz w:val="24"/>
          <w:szCs w:val="24"/>
        </w:rPr>
      </w:pPr>
      <w:r>
        <w:br w:type="page"/>
      </w:r>
    </w:p>
    <w:p w14:paraId="0C52B0A3" w14:textId="77777777" w:rsidR="003063FF" w:rsidRDefault="00000000">
      <w:pPr>
        <w:jc w:val="both"/>
        <w:rPr>
          <w:b/>
        </w:rPr>
      </w:pPr>
      <w:r>
        <w:rPr>
          <w:b/>
        </w:rPr>
        <w:t xml:space="preserve">CONTENUTI SUDDIVISI PER LA CLASSE 3° E 4° </w:t>
      </w:r>
    </w:p>
    <w:p w14:paraId="5B4F194E" w14:textId="77777777" w:rsidR="003063FF" w:rsidRDefault="003063FF">
      <w:pPr>
        <w:jc w:val="both"/>
      </w:pPr>
    </w:p>
    <w:tbl>
      <w:tblPr>
        <w:tblStyle w:val="a3"/>
        <w:tblW w:w="14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68"/>
        <w:gridCol w:w="3569"/>
        <w:gridCol w:w="3569"/>
        <w:gridCol w:w="3570"/>
      </w:tblGrid>
      <w:tr w:rsidR="003063FF" w14:paraId="6CEDDE5F" w14:textId="77777777">
        <w:tc>
          <w:tcPr>
            <w:tcW w:w="7138" w:type="dxa"/>
            <w:gridSpan w:val="2"/>
          </w:tcPr>
          <w:p w14:paraId="048AB91B" w14:textId="77777777" w:rsidR="003063FF" w:rsidRDefault="00000000">
            <w:pPr>
              <w:jc w:val="center"/>
              <w:rPr>
                <w:b/>
                <w:sz w:val="28"/>
                <w:szCs w:val="28"/>
              </w:rPr>
            </w:pPr>
            <w:r>
              <w:rPr>
                <w:b/>
                <w:sz w:val="28"/>
                <w:szCs w:val="28"/>
              </w:rPr>
              <w:t>CLASSE 3° LIS</w:t>
            </w:r>
          </w:p>
        </w:tc>
        <w:tc>
          <w:tcPr>
            <w:tcW w:w="7139" w:type="dxa"/>
            <w:gridSpan w:val="2"/>
          </w:tcPr>
          <w:p w14:paraId="58EBE646" w14:textId="77777777" w:rsidR="003063FF" w:rsidRDefault="00000000">
            <w:pPr>
              <w:jc w:val="center"/>
              <w:rPr>
                <w:b/>
                <w:sz w:val="28"/>
                <w:szCs w:val="28"/>
              </w:rPr>
            </w:pPr>
            <w:r>
              <w:rPr>
                <w:b/>
                <w:sz w:val="28"/>
                <w:szCs w:val="28"/>
              </w:rPr>
              <w:t>CLASSE 4° LIS</w:t>
            </w:r>
          </w:p>
        </w:tc>
      </w:tr>
      <w:tr w:rsidR="003063FF" w14:paraId="33FCE0CA" w14:textId="77777777">
        <w:trPr>
          <w:trHeight w:val="135"/>
        </w:trPr>
        <w:tc>
          <w:tcPr>
            <w:tcW w:w="3569" w:type="dxa"/>
          </w:tcPr>
          <w:p w14:paraId="7C78E5A2" w14:textId="77777777" w:rsidR="003063FF" w:rsidRDefault="00000000">
            <w:pPr>
              <w:jc w:val="center"/>
            </w:pPr>
            <w:r>
              <w:t>DIRITTO</w:t>
            </w:r>
          </w:p>
        </w:tc>
        <w:tc>
          <w:tcPr>
            <w:tcW w:w="3569" w:type="dxa"/>
          </w:tcPr>
          <w:p w14:paraId="450E7342" w14:textId="77777777" w:rsidR="003063FF" w:rsidRDefault="00000000">
            <w:pPr>
              <w:jc w:val="center"/>
            </w:pPr>
            <w:r>
              <w:t>ECONOMIA</w:t>
            </w:r>
          </w:p>
        </w:tc>
        <w:tc>
          <w:tcPr>
            <w:tcW w:w="3569" w:type="dxa"/>
          </w:tcPr>
          <w:p w14:paraId="56688B1C" w14:textId="77777777" w:rsidR="003063FF" w:rsidRDefault="00000000">
            <w:pPr>
              <w:jc w:val="center"/>
            </w:pPr>
            <w:r>
              <w:t>DIRITTO</w:t>
            </w:r>
          </w:p>
        </w:tc>
        <w:tc>
          <w:tcPr>
            <w:tcW w:w="3570" w:type="dxa"/>
          </w:tcPr>
          <w:p w14:paraId="03AD8CBD" w14:textId="77777777" w:rsidR="003063FF" w:rsidRDefault="00000000">
            <w:pPr>
              <w:jc w:val="center"/>
            </w:pPr>
            <w:r>
              <w:t>ECONOMIA</w:t>
            </w:r>
          </w:p>
        </w:tc>
      </w:tr>
      <w:tr w:rsidR="003063FF" w14:paraId="72B72026" w14:textId="77777777">
        <w:trPr>
          <w:trHeight w:val="135"/>
        </w:trPr>
        <w:tc>
          <w:tcPr>
            <w:tcW w:w="3569" w:type="dxa"/>
          </w:tcPr>
          <w:p w14:paraId="07486CB8"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Le norme giuridiche e i loro caratteri</w:t>
            </w:r>
          </w:p>
          <w:p w14:paraId="007F7F54"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Le fonti normative e l’efficacia delle leggi</w:t>
            </w:r>
          </w:p>
          <w:p w14:paraId="36445AA3"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L’evoluzione storica del diritto</w:t>
            </w:r>
          </w:p>
          <w:p w14:paraId="7755DDA1" w14:textId="77777777" w:rsidR="003063FF" w:rsidRDefault="00000000">
            <w:pPr>
              <w:widowControl w:val="0"/>
              <w:numPr>
                <w:ilvl w:val="0"/>
                <w:numId w:val="1"/>
              </w:numPr>
              <w:pBdr>
                <w:top w:val="nil"/>
                <w:left w:val="nil"/>
                <w:bottom w:val="nil"/>
                <w:right w:val="nil"/>
                <w:between w:val="nil"/>
              </w:pBdr>
              <w:jc w:val="both"/>
              <w:rPr>
                <w:rFonts w:ascii="Garamond" w:eastAsia="Garamond" w:hAnsi="Garamond" w:cs="Garamond"/>
                <w:color w:val="000000"/>
                <w:sz w:val="20"/>
                <w:szCs w:val="20"/>
              </w:rPr>
            </w:pPr>
            <w:r>
              <w:rPr>
                <w:rFonts w:ascii="Garamond" w:eastAsia="Garamond" w:hAnsi="Garamond" w:cs="Garamond"/>
                <w:color w:val="000000"/>
                <w:sz w:val="20"/>
                <w:szCs w:val="20"/>
              </w:rPr>
              <w:t>I soggetti del diritto</w:t>
            </w:r>
          </w:p>
          <w:p w14:paraId="34245A8E"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La Costituzione italiana e i suoi caratteri</w:t>
            </w:r>
          </w:p>
          <w:p w14:paraId="71B2D72B"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I principi fondamentali della Costituzione</w:t>
            </w:r>
          </w:p>
          <w:p w14:paraId="74F587CD" w14:textId="77777777" w:rsidR="003063FF" w:rsidRDefault="00000000">
            <w:pPr>
              <w:widowControl w:val="0"/>
              <w:numPr>
                <w:ilvl w:val="0"/>
                <w:numId w:val="1"/>
              </w:numPr>
              <w:pBdr>
                <w:top w:val="nil"/>
                <w:left w:val="nil"/>
                <w:bottom w:val="nil"/>
                <w:right w:val="nil"/>
                <w:between w:val="nil"/>
              </w:pBdr>
              <w:jc w:val="both"/>
            </w:pPr>
            <w:r>
              <w:rPr>
                <w:rFonts w:ascii="Garamond" w:eastAsia="Garamond" w:hAnsi="Garamond" w:cs="Garamond"/>
                <w:color w:val="000000"/>
                <w:sz w:val="20"/>
                <w:szCs w:val="20"/>
              </w:rPr>
              <w:t xml:space="preserve"> La tutela delle libertà</w:t>
            </w:r>
          </w:p>
        </w:tc>
        <w:tc>
          <w:tcPr>
            <w:tcW w:w="3569" w:type="dxa"/>
          </w:tcPr>
          <w:p w14:paraId="0A67B4FE"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I bisogni economici </w:t>
            </w:r>
            <w:r>
              <w:rPr>
                <w:rFonts w:ascii="Times New Roman" w:eastAsia="Times New Roman" w:hAnsi="Times New Roman" w:cs="Times New Roman"/>
                <w:color w:val="000000"/>
                <w:sz w:val="18"/>
                <w:szCs w:val="18"/>
              </w:rPr>
              <w:br/>
              <w:t>e il comportamento dell’uomo</w:t>
            </w:r>
          </w:p>
          <w:p w14:paraId="47972EF1"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Il sistema economico</w:t>
            </w:r>
          </w:p>
          <w:p w14:paraId="0DF0B603"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Reddito e consumo</w:t>
            </w:r>
          </w:p>
          <w:p w14:paraId="66833820"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Risparmio e investimenti</w:t>
            </w:r>
          </w:p>
          <w:p w14:paraId="530D15D1"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L’attività produttiva</w:t>
            </w:r>
          </w:p>
          <w:p w14:paraId="380AC5DF"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Il mercato e il suo funzionamento</w:t>
            </w:r>
          </w:p>
          <w:p w14:paraId="1055D8C7"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Lo Stato come soggetto economico</w:t>
            </w:r>
          </w:p>
          <w:p w14:paraId="4869F8D3"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Il resto del mondo</w:t>
            </w:r>
          </w:p>
          <w:p w14:paraId="247B88C7" w14:textId="77777777" w:rsidR="003063FF" w:rsidRDefault="003063FF">
            <w:pPr>
              <w:jc w:val="both"/>
            </w:pPr>
          </w:p>
        </w:tc>
        <w:tc>
          <w:tcPr>
            <w:tcW w:w="3569" w:type="dxa"/>
          </w:tcPr>
          <w:p w14:paraId="323AF0C4"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Le obbligazioni: caratteri, fonti, tipologie</w:t>
            </w:r>
          </w:p>
          <w:p w14:paraId="1A336B11"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L’estinzione delle obbligazioni</w:t>
            </w:r>
          </w:p>
          <w:p w14:paraId="419F392D"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Il contratto e i suoi elementi costitutivi</w:t>
            </w:r>
          </w:p>
          <w:p w14:paraId="14615090"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 xml:space="preserve">La formazione e gli effetti </w:t>
            </w:r>
            <w:r>
              <w:rPr>
                <w:rFonts w:ascii="Garamond" w:eastAsia="Garamond" w:hAnsi="Garamond" w:cs="Garamond"/>
                <w:color w:val="000000"/>
                <w:sz w:val="20"/>
                <w:szCs w:val="20"/>
              </w:rPr>
              <w:br/>
              <w:t>del contratto</w:t>
            </w:r>
          </w:p>
          <w:p w14:paraId="745C5649"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 xml:space="preserve">L’invalidità e l’inefficacia </w:t>
            </w:r>
            <w:r>
              <w:rPr>
                <w:rFonts w:ascii="Garamond" w:eastAsia="Garamond" w:hAnsi="Garamond" w:cs="Garamond"/>
                <w:color w:val="000000"/>
                <w:sz w:val="20"/>
                <w:szCs w:val="20"/>
              </w:rPr>
              <w:br/>
              <w:t>del contratto</w:t>
            </w:r>
          </w:p>
          <w:p w14:paraId="156734A5" w14:textId="77777777" w:rsidR="003063FF" w:rsidRDefault="00000000">
            <w:pPr>
              <w:widowControl w:val="0"/>
              <w:numPr>
                <w:ilvl w:val="0"/>
                <w:numId w:val="1"/>
              </w:numPr>
              <w:pBdr>
                <w:top w:val="nil"/>
                <w:left w:val="nil"/>
                <w:bottom w:val="nil"/>
                <w:right w:val="nil"/>
                <w:between w:val="nil"/>
              </w:pBdr>
              <w:jc w:val="both"/>
            </w:pPr>
            <w:r>
              <w:rPr>
                <w:rFonts w:ascii="Garamond" w:eastAsia="Garamond" w:hAnsi="Garamond" w:cs="Garamond"/>
                <w:color w:val="000000"/>
                <w:sz w:val="20"/>
                <w:szCs w:val="20"/>
              </w:rPr>
              <w:t>Il contratto di lavoro subordinato</w:t>
            </w:r>
          </w:p>
        </w:tc>
        <w:tc>
          <w:tcPr>
            <w:tcW w:w="3570" w:type="dxa"/>
          </w:tcPr>
          <w:p w14:paraId="335B56D0"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Prodotto e reddito nazionale</w:t>
            </w:r>
          </w:p>
          <w:p w14:paraId="521E3E3B"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La distribuzione del reddito</w:t>
            </w:r>
          </w:p>
          <w:p w14:paraId="6D464103"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Il mercato del lavoro</w:t>
            </w:r>
          </w:p>
          <w:p w14:paraId="3B38F94A"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 xml:space="preserve">Occupazione e disoccupazione </w:t>
            </w:r>
          </w:p>
          <w:p w14:paraId="13C066A0"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La moneta e le sue origini</w:t>
            </w:r>
          </w:p>
          <w:p w14:paraId="572DBA53"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La domanda e l’offerta di moneta</w:t>
            </w:r>
          </w:p>
          <w:p w14:paraId="1051F6D2"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Il credito e le banche</w:t>
            </w:r>
          </w:p>
          <w:p w14:paraId="337682A6" w14:textId="77777777" w:rsidR="003063FF" w:rsidRDefault="00000000">
            <w:pPr>
              <w:widowControl w:val="0"/>
              <w:numPr>
                <w:ilvl w:val="0"/>
                <w:numId w:val="1"/>
              </w:numPr>
              <w:pBdr>
                <w:top w:val="nil"/>
                <w:left w:val="nil"/>
                <w:bottom w:val="nil"/>
                <w:right w:val="nil"/>
                <w:between w:val="nil"/>
              </w:pBdr>
              <w:spacing w:after="80" w:line="288" w:lineRule="auto"/>
              <w:ind w:right="113"/>
              <w:rPr>
                <w:rFonts w:ascii="Garamond" w:eastAsia="Garamond" w:hAnsi="Garamond" w:cs="Garamond"/>
                <w:color w:val="000000"/>
                <w:sz w:val="20"/>
                <w:szCs w:val="20"/>
              </w:rPr>
            </w:pPr>
            <w:r>
              <w:rPr>
                <w:rFonts w:ascii="Garamond" w:eastAsia="Garamond" w:hAnsi="Garamond" w:cs="Garamond"/>
                <w:color w:val="000000"/>
                <w:sz w:val="20"/>
                <w:szCs w:val="20"/>
              </w:rPr>
              <w:t>La Borsa valori</w:t>
            </w:r>
          </w:p>
          <w:p w14:paraId="647EE229" w14:textId="77777777" w:rsidR="003063FF" w:rsidRDefault="00000000">
            <w:pPr>
              <w:widowControl w:val="0"/>
              <w:numPr>
                <w:ilvl w:val="0"/>
                <w:numId w:val="1"/>
              </w:numPr>
              <w:pBdr>
                <w:top w:val="nil"/>
                <w:left w:val="nil"/>
                <w:bottom w:val="nil"/>
                <w:right w:val="nil"/>
                <w:between w:val="nil"/>
              </w:pBdr>
              <w:jc w:val="both"/>
            </w:pPr>
            <w:r>
              <w:rPr>
                <w:rFonts w:ascii="Garamond" w:eastAsia="Garamond" w:hAnsi="Garamond" w:cs="Garamond"/>
                <w:color w:val="000000"/>
                <w:sz w:val="20"/>
                <w:szCs w:val="20"/>
              </w:rPr>
              <w:t>L’inflazione</w:t>
            </w:r>
          </w:p>
        </w:tc>
      </w:tr>
    </w:tbl>
    <w:p w14:paraId="7659492A" w14:textId="77777777" w:rsidR="003063FF" w:rsidRDefault="003063FF">
      <w:pPr>
        <w:jc w:val="both"/>
      </w:pPr>
    </w:p>
    <w:p w14:paraId="5A58B7BC" w14:textId="77777777" w:rsidR="003063FF" w:rsidRDefault="003063FF">
      <w:pPr>
        <w:jc w:val="both"/>
        <w:rPr>
          <w:rFonts w:ascii="Garamond" w:eastAsia="Garamond" w:hAnsi="Garamond" w:cs="Garamond"/>
        </w:rPr>
      </w:pPr>
    </w:p>
    <w:sectPr w:rsidR="003063FF">
      <w:pgSz w:w="16850" w:h="11900" w:orient="landscape"/>
      <w:pgMar w:top="1134" w:right="1134" w:bottom="1134"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Roman">
    <w:panose1 w:val="00000000000000000000"/>
    <w:charset w:val="00"/>
    <w:family w:val="roman"/>
    <w:notTrueType/>
    <w:pitch w:val="default"/>
  </w:font>
  <w:font w:name="AkzidenzGroteskBE-Bold">
    <w:altName w:val="Calibri"/>
    <w:charset w:val="00"/>
    <w:family w:val="auto"/>
    <w:pitch w:val="default"/>
  </w:font>
  <w:font w:name="HelveticaNeueLTStd-BdCn">
    <w:panose1 w:val="00000000000000000000"/>
    <w:charset w:val="00"/>
    <w:family w:val="roman"/>
    <w:notTrueType/>
    <w:pitch w:val="default"/>
  </w:font>
  <w:font w:name="HelveticaNeueLTStd-LtCn">
    <w:panose1 w:val="00000000000000000000"/>
    <w:charset w:val="00"/>
    <w:family w:val="roman"/>
    <w:notTrueType/>
    <w:pitch w:val="default"/>
  </w:font>
  <w:font w:name="HelveticaNeueLTStd-ThCn">
    <w:panose1 w:val="00000000000000000000"/>
    <w:charset w:val="00"/>
    <w:family w:val="roman"/>
    <w:notTrueType/>
    <w:pitch w:val="default"/>
  </w:font>
  <w:font w:name="HelveticaNeueLTStd-UltLtC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1">
    <w:altName w:val="Calibri"/>
    <w:charset w:val="00"/>
    <w:family w:val="auto"/>
    <w:pitch w:val="default"/>
  </w:font>
  <w:font w:name="Helvetica Neue">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6A2CE9"/>
    <w:multiLevelType w:val="multilevel"/>
    <w:tmpl w:val="5D0ABCD6"/>
    <w:lvl w:ilvl="0">
      <w:numFmt w:val="bullet"/>
      <w:lvlText w:val="●"/>
      <w:lvlJc w:val="left"/>
      <w:pPr>
        <w:ind w:left="834" w:hanging="360"/>
      </w:pPr>
      <w:rPr>
        <w:rFonts w:ascii="Noto Sans Symbols" w:eastAsia="Noto Sans Symbols" w:hAnsi="Noto Sans Symbols" w:cs="Noto Sans Symbols"/>
        <w:b w:val="0"/>
        <w:i w:val="0"/>
        <w:sz w:val="24"/>
        <w:szCs w:val="24"/>
      </w:rPr>
    </w:lvl>
    <w:lvl w:ilvl="1">
      <w:numFmt w:val="bullet"/>
      <w:lvlText w:val="•"/>
      <w:lvlJc w:val="left"/>
      <w:pPr>
        <w:ind w:left="1823" w:hanging="360"/>
      </w:pPr>
    </w:lvl>
    <w:lvl w:ilvl="2">
      <w:numFmt w:val="bullet"/>
      <w:lvlText w:val="•"/>
      <w:lvlJc w:val="left"/>
      <w:pPr>
        <w:ind w:left="2807" w:hanging="361"/>
      </w:pPr>
    </w:lvl>
    <w:lvl w:ilvl="3">
      <w:numFmt w:val="bullet"/>
      <w:lvlText w:val="•"/>
      <w:lvlJc w:val="left"/>
      <w:pPr>
        <w:ind w:left="3791" w:hanging="361"/>
      </w:pPr>
    </w:lvl>
    <w:lvl w:ilvl="4">
      <w:numFmt w:val="bullet"/>
      <w:lvlText w:val="•"/>
      <w:lvlJc w:val="left"/>
      <w:pPr>
        <w:ind w:left="4775" w:hanging="361"/>
      </w:pPr>
    </w:lvl>
    <w:lvl w:ilvl="5">
      <w:numFmt w:val="bullet"/>
      <w:lvlText w:val="•"/>
      <w:lvlJc w:val="left"/>
      <w:pPr>
        <w:ind w:left="5759" w:hanging="361"/>
      </w:pPr>
    </w:lvl>
    <w:lvl w:ilvl="6">
      <w:numFmt w:val="bullet"/>
      <w:lvlText w:val="•"/>
      <w:lvlJc w:val="left"/>
      <w:pPr>
        <w:ind w:left="6743" w:hanging="361"/>
      </w:pPr>
    </w:lvl>
    <w:lvl w:ilvl="7">
      <w:numFmt w:val="bullet"/>
      <w:lvlText w:val="•"/>
      <w:lvlJc w:val="left"/>
      <w:pPr>
        <w:ind w:left="7727" w:hanging="361"/>
      </w:pPr>
    </w:lvl>
    <w:lvl w:ilvl="8">
      <w:numFmt w:val="bullet"/>
      <w:lvlText w:val="•"/>
      <w:lvlJc w:val="left"/>
      <w:pPr>
        <w:ind w:left="8711" w:hanging="361"/>
      </w:pPr>
    </w:lvl>
  </w:abstractNum>
  <w:abstractNum w:abstractNumId="1" w15:restartNumberingAfterBreak="0">
    <w:nsid w:val="263F7B5E"/>
    <w:multiLevelType w:val="multilevel"/>
    <w:tmpl w:val="2AC42FB0"/>
    <w:lvl w:ilvl="0">
      <w:start w:val="1"/>
      <w:numFmt w:val="bullet"/>
      <w:lvlText w:val="●"/>
      <w:lvlJc w:val="left"/>
      <w:pPr>
        <w:ind w:left="1080" w:hanging="360"/>
      </w:pPr>
      <w:rPr>
        <w:rFonts w:ascii="Noto Sans Symbols" w:eastAsia="Noto Sans Symbols" w:hAnsi="Noto Sans Symbols" w:cs="Noto Sans Symbols"/>
      </w:rPr>
    </w:lvl>
    <w:lvl w:ilvl="1">
      <w:numFmt w:val="bullet"/>
      <w:lvlText w:val="–"/>
      <w:lvlJc w:val="left"/>
      <w:pPr>
        <w:ind w:left="1800" w:hanging="360"/>
      </w:pPr>
      <w:rPr>
        <w:rFonts w:ascii="Times New Roman" w:eastAsia="Times New Roman" w:hAnsi="Times New Roman" w:cs="Times New Roman"/>
      </w:rPr>
    </w:lvl>
    <w:lvl w:ilvl="2">
      <w:numFmt w:val="bullet"/>
      <w:lvlText w:val="-"/>
      <w:lvlJc w:val="left"/>
      <w:pPr>
        <w:ind w:left="2520" w:hanging="36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48B63278"/>
    <w:multiLevelType w:val="hybridMultilevel"/>
    <w:tmpl w:val="CC30FDCE"/>
    <w:lvl w:ilvl="0" w:tplc="67CA193E">
      <w:numFmt w:val="bullet"/>
      <w:lvlText w:val="-"/>
      <w:lvlJc w:val="left"/>
      <w:pPr>
        <w:ind w:left="382" w:hanging="360"/>
      </w:pPr>
      <w:rPr>
        <w:rFonts w:ascii="Times New Roman" w:eastAsia="Times New Roman" w:hAnsi="Times New Roman" w:cs="Times New Roman" w:hint="default"/>
      </w:rPr>
    </w:lvl>
    <w:lvl w:ilvl="1" w:tplc="04100003" w:tentative="1">
      <w:start w:val="1"/>
      <w:numFmt w:val="bullet"/>
      <w:lvlText w:val="o"/>
      <w:lvlJc w:val="left"/>
      <w:pPr>
        <w:ind w:left="1102" w:hanging="360"/>
      </w:pPr>
      <w:rPr>
        <w:rFonts w:ascii="Courier New" w:hAnsi="Courier New" w:cs="Courier New" w:hint="default"/>
      </w:rPr>
    </w:lvl>
    <w:lvl w:ilvl="2" w:tplc="04100005" w:tentative="1">
      <w:start w:val="1"/>
      <w:numFmt w:val="bullet"/>
      <w:lvlText w:val=""/>
      <w:lvlJc w:val="left"/>
      <w:pPr>
        <w:ind w:left="1822" w:hanging="360"/>
      </w:pPr>
      <w:rPr>
        <w:rFonts w:ascii="Wingdings" w:hAnsi="Wingdings" w:hint="default"/>
      </w:rPr>
    </w:lvl>
    <w:lvl w:ilvl="3" w:tplc="04100001" w:tentative="1">
      <w:start w:val="1"/>
      <w:numFmt w:val="bullet"/>
      <w:lvlText w:val=""/>
      <w:lvlJc w:val="left"/>
      <w:pPr>
        <w:ind w:left="2542" w:hanging="360"/>
      </w:pPr>
      <w:rPr>
        <w:rFonts w:ascii="Symbol" w:hAnsi="Symbol" w:hint="default"/>
      </w:rPr>
    </w:lvl>
    <w:lvl w:ilvl="4" w:tplc="04100003" w:tentative="1">
      <w:start w:val="1"/>
      <w:numFmt w:val="bullet"/>
      <w:lvlText w:val="o"/>
      <w:lvlJc w:val="left"/>
      <w:pPr>
        <w:ind w:left="3262" w:hanging="360"/>
      </w:pPr>
      <w:rPr>
        <w:rFonts w:ascii="Courier New" w:hAnsi="Courier New" w:cs="Courier New" w:hint="default"/>
      </w:rPr>
    </w:lvl>
    <w:lvl w:ilvl="5" w:tplc="04100005" w:tentative="1">
      <w:start w:val="1"/>
      <w:numFmt w:val="bullet"/>
      <w:lvlText w:val=""/>
      <w:lvlJc w:val="left"/>
      <w:pPr>
        <w:ind w:left="3982" w:hanging="360"/>
      </w:pPr>
      <w:rPr>
        <w:rFonts w:ascii="Wingdings" w:hAnsi="Wingdings" w:hint="default"/>
      </w:rPr>
    </w:lvl>
    <w:lvl w:ilvl="6" w:tplc="04100001" w:tentative="1">
      <w:start w:val="1"/>
      <w:numFmt w:val="bullet"/>
      <w:lvlText w:val=""/>
      <w:lvlJc w:val="left"/>
      <w:pPr>
        <w:ind w:left="4702" w:hanging="360"/>
      </w:pPr>
      <w:rPr>
        <w:rFonts w:ascii="Symbol" w:hAnsi="Symbol" w:hint="default"/>
      </w:rPr>
    </w:lvl>
    <w:lvl w:ilvl="7" w:tplc="04100003" w:tentative="1">
      <w:start w:val="1"/>
      <w:numFmt w:val="bullet"/>
      <w:lvlText w:val="o"/>
      <w:lvlJc w:val="left"/>
      <w:pPr>
        <w:ind w:left="5422" w:hanging="360"/>
      </w:pPr>
      <w:rPr>
        <w:rFonts w:ascii="Courier New" w:hAnsi="Courier New" w:cs="Courier New" w:hint="default"/>
      </w:rPr>
    </w:lvl>
    <w:lvl w:ilvl="8" w:tplc="04100005" w:tentative="1">
      <w:start w:val="1"/>
      <w:numFmt w:val="bullet"/>
      <w:lvlText w:val=""/>
      <w:lvlJc w:val="left"/>
      <w:pPr>
        <w:ind w:left="6142" w:hanging="360"/>
      </w:pPr>
      <w:rPr>
        <w:rFonts w:ascii="Wingdings" w:hAnsi="Wingdings" w:hint="default"/>
      </w:rPr>
    </w:lvl>
  </w:abstractNum>
  <w:abstractNum w:abstractNumId="3" w15:restartNumberingAfterBreak="0">
    <w:nsid w:val="76A90463"/>
    <w:multiLevelType w:val="hybridMultilevel"/>
    <w:tmpl w:val="8D349FBC"/>
    <w:lvl w:ilvl="0" w:tplc="43FA35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30731185">
    <w:abstractNumId w:val="1"/>
  </w:num>
  <w:num w:numId="2" w16cid:durableId="403454287">
    <w:abstractNumId w:val="0"/>
  </w:num>
  <w:num w:numId="3" w16cid:durableId="774640681">
    <w:abstractNumId w:val="3"/>
  </w:num>
  <w:num w:numId="4" w16cid:durableId="1332222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3FF"/>
    <w:rsid w:val="003063FF"/>
    <w:rsid w:val="00565A89"/>
    <w:rsid w:val="0059263B"/>
    <w:rsid w:val="00722E53"/>
    <w:rsid w:val="00C25C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CA977"/>
  <w15:docId w15:val="{E1830664-8726-458F-BBC5-B9D1559CB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Corpotesto">
    <w:name w:val="Body Text"/>
    <w:basedOn w:val="Normale"/>
    <w:link w:val="CorpotestoCarattere"/>
    <w:uiPriority w:val="1"/>
    <w:qFormat/>
    <w:rsid w:val="00166A33"/>
    <w:pPr>
      <w:widowControl w:val="0"/>
      <w:autoSpaceDE w:val="0"/>
      <w:autoSpaceDN w:val="0"/>
      <w:spacing w:after="0" w:line="240" w:lineRule="auto"/>
    </w:pPr>
    <w:rPr>
      <w:rFonts w:ascii="Garamond" w:eastAsia="Garamond" w:hAnsi="Garamond" w:cs="Garamond"/>
      <w:sz w:val="24"/>
      <w:szCs w:val="24"/>
    </w:rPr>
  </w:style>
  <w:style w:type="character" w:customStyle="1" w:styleId="CorpotestoCarattere">
    <w:name w:val="Corpo testo Carattere"/>
    <w:basedOn w:val="Carpredefinitoparagrafo"/>
    <w:link w:val="Corpotesto"/>
    <w:uiPriority w:val="1"/>
    <w:rsid w:val="00166A33"/>
    <w:rPr>
      <w:rFonts w:ascii="Garamond" w:eastAsia="Garamond" w:hAnsi="Garamond" w:cs="Garamond"/>
      <w:sz w:val="24"/>
      <w:szCs w:val="24"/>
    </w:rPr>
  </w:style>
  <w:style w:type="paragraph" w:styleId="Paragrafoelenco">
    <w:name w:val="List Paragraph"/>
    <w:basedOn w:val="Normale"/>
    <w:uiPriority w:val="1"/>
    <w:qFormat/>
    <w:rsid w:val="00166A33"/>
    <w:pPr>
      <w:widowControl w:val="0"/>
      <w:autoSpaceDE w:val="0"/>
      <w:autoSpaceDN w:val="0"/>
      <w:spacing w:after="0" w:line="404" w:lineRule="exact"/>
      <w:ind w:left="834" w:hanging="361"/>
    </w:pPr>
    <w:rPr>
      <w:rFonts w:ascii="Garamond" w:eastAsia="Garamond" w:hAnsi="Garamond" w:cs="Garamond"/>
    </w:rPr>
  </w:style>
  <w:style w:type="paragraph" w:customStyle="1" w:styleId="Nessunostileparagrafo">
    <w:name w:val="[Nessuno stile paragrafo]"/>
    <w:rsid w:val="00E83E31"/>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Paragrafobase">
    <w:name w:val="[Paragrafo base]"/>
    <w:basedOn w:val="Nessunostileparagrafo"/>
    <w:uiPriority w:val="99"/>
    <w:rsid w:val="00E83E31"/>
  </w:style>
  <w:style w:type="paragraph" w:customStyle="1" w:styleId="tabtestatineneg02tabellaprogrammazione">
    <w:name w:val="tab_testatine neg (02_tabella_programmazione)"/>
    <w:basedOn w:val="Nessunostileparagrafo"/>
    <w:uiPriority w:val="99"/>
    <w:rsid w:val="00E83E31"/>
    <w:pPr>
      <w:suppressAutoHyphens/>
      <w:spacing w:line="200" w:lineRule="atLeast"/>
      <w:ind w:left="57"/>
      <w:jc w:val="center"/>
    </w:pPr>
    <w:rPr>
      <w:rFonts w:ascii="AkzidenzGroteskBE-Bold" w:hAnsi="AkzidenzGroteskBE-Bold" w:cs="AkzidenzGroteskBE-Bold"/>
      <w:b/>
      <w:bCs/>
      <w:caps/>
      <w:color w:val="FFFFFF"/>
      <w:sz w:val="18"/>
      <w:szCs w:val="18"/>
    </w:rPr>
  </w:style>
  <w:style w:type="paragraph" w:customStyle="1" w:styleId="tabtitoletti02tabellaprogrammazione">
    <w:name w:val="tab_titoletti (02_tabella_programmazione)"/>
    <w:basedOn w:val="Nessunostileparagrafo"/>
    <w:uiPriority w:val="99"/>
    <w:rsid w:val="00E83E31"/>
    <w:pPr>
      <w:tabs>
        <w:tab w:val="left" w:pos="1701"/>
      </w:tabs>
      <w:suppressAutoHyphens/>
      <w:spacing w:line="200" w:lineRule="atLeast"/>
      <w:ind w:left="57"/>
    </w:pPr>
    <w:rPr>
      <w:rFonts w:ascii="HelveticaNeueLTStd-BdCn" w:hAnsi="HelveticaNeueLTStd-BdCn" w:cs="HelveticaNeueLTStd-BdCn"/>
      <w:b/>
      <w:bCs/>
      <w:sz w:val="18"/>
      <w:szCs w:val="18"/>
    </w:rPr>
  </w:style>
  <w:style w:type="paragraph" w:customStyle="1" w:styleId="tabtestatine02tabellaprogrammazione">
    <w:name w:val="tab_testatine (02_tabella_programmazione)"/>
    <w:basedOn w:val="Nessunostileparagrafo"/>
    <w:uiPriority w:val="99"/>
    <w:rsid w:val="00E83E31"/>
    <w:pPr>
      <w:tabs>
        <w:tab w:val="left" w:pos="1701"/>
      </w:tabs>
      <w:suppressAutoHyphens/>
      <w:spacing w:line="200" w:lineRule="atLeast"/>
      <w:ind w:left="57"/>
    </w:pPr>
    <w:rPr>
      <w:rFonts w:ascii="AkzidenzGroteskBE-Bold" w:hAnsi="AkzidenzGroteskBE-Bold" w:cs="AkzidenzGroteskBE-Bold"/>
      <w:b/>
      <w:bCs/>
      <w:sz w:val="18"/>
      <w:szCs w:val="18"/>
    </w:rPr>
  </w:style>
  <w:style w:type="paragraph" w:customStyle="1" w:styleId="tabunit02tabellaprogrammazione">
    <w:name w:val="tab_unità (02_tabella_programmazione)"/>
    <w:basedOn w:val="Nessunostileparagrafo"/>
    <w:uiPriority w:val="99"/>
    <w:rsid w:val="00E83E31"/>
    <w:pPr>
      <w:suppressAutoHyphens/>
      <w:spacing w:before="200" w:line="200" w:lineRule="atLeast"/>
      <w:ind w:left="57" w:right="57"/>
    </w:pPr>
    <w:rPr>
      <w:rFonts w:ascii="HelveticaNeueLTStd-LtCn" w:hAnsi="HelveticaNeueLTStd-LtCn" w:cs="HelveticaNeueLTStd-LtCn"/>
      <w:sz w:val="18"/>
      <w:szCs w:val="18"/>
    </w:rPr>
  </w:style>
  <w:style w:type="paragraph" w:customStyle="1" w:styleId="tabpuntoelencotesto02tabellaprogrammazione">
    <w:name w:val="tab_punto_elenco_testo (02_tabella_programmazione)"/>
    <w:basedOn w:val="Nessunostileparagrafo"/>
    <w:uiPriority w:val="99"/>
    <w:rsid w:val="00E83E31"/>
    <w:pPr>
      <w:suppressAutoHyphens/>
      <w:spacing w:after="57" w:line="200" w:lineRule="atLeast"/>
      <w:ind w:left="227" w:right="57" w:hanging="170"/>
    </w:pPr>
    <w:rPr>
      <w:rFonts w:ascii="HelveticaNeueLTStd-LtCn" w:hAnsi="HelveticaNeueLTStd-LtCn" w:cs="HelveticaNeueLTStd-LtCn"/>
      <w:sz w:val="18"/>
      <w:szCs w:val="18"/>
    </w:rPr>
  </w:style>
  <w:style w:type="paragraph" w:customStyle="1" w:styleId="tabtesto02tabellaprogrammazione">
    <w:name w:val="tab_testo (02_tabella_programmazione)"/>
    <w:basedOn w:val="tabpuntoelencotesto02tabellaprogrammazione"/>
    <w:uiPriority w:val="99"/>
    <w:rsid w:val="00E83E31"/>
    <w:pPr>
      <w:ind w:left="57" w:firstLine="0"/>
    </w:pPr>
    <w:rPr>
      <w:rFonts w:ascii="HelveticaNeueLTStd-ThCn" w:hAnsi="HelveticaNeueLTStd-ThCn" w:cs="HelveticaNeueLTStd-ThCn"/>
    </w:rPr>
  </w:style>
  <w:style w:type="paragraph" w:customStyle="1" w:styleId="tabelencosenzapunto02tabellaprogrammazione">
    <w:name w:val="tab_elenco_senza_punto (02_tabella_programmazione)"/>
    <w:basedOn w:val="Nessunostileparagrafo"/>
    <w:uiPriority w:val="99"/>
    <w:rsid w:val="00E83E31"/>
    <w:pPr>
      <w:suppressAutoHyphens/>
      <w:spacing w:after="57" w:line="200" w:lineRule="atLeast"/>
      <w:ind w:left="170" w:hanging="113"/>
    </w:pPr>
    <w:rPr>
      <w:rFonts w:ascii="HelveticaNeueLTStd-LtCn" w:hAnsi="HelveticaNeueLTStd-LtCn" w:cs="HelveticaNeueLTStd-LtCn"/>
      <w:sz w:val="18"/>
      <w:szCs w:val="18"/>
    </w:rPr>
  </w:style>
  <w:style w:type="character" w:customStyle="1" w:styleId="01glifoelencopallino02tabellaprogrammazione">
    <w:name w:val="01_glifo_elenco_pallino (02_tabella_programmazione)"/>
    <w:uiPriority w:val="99"/>
    <w:rsid w:val="00E83E31"/>
    <w:rPr>
      <w:rFonts w:ascii="HelveticaNeueLTStd-UltLtCn" w:hAnsi="HelveticaNeueLTStd-UltLtCn" w:cs="HelveticaNeueLTStd-UltLtCn"/>
      <w:color w:val="000000"/>
      <w:w w:val="100"/>
      <w:position w:val="0"/>
      <w:sz w:val="18"/>
      <w:szCs w:val="18"/>
      <w:u w:val="none"/>
    </w:rPr>
  </w:style>
  <w:style w:type="table" w:styleId="Grigliatabella">
    <w:name w:val="Table Grid"/>
    <w:basedOn w:val="Tabellanormale"/>
    <w:uiPriority w:val="39"/>
    <w:rsid w:val="00E83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udis01800d@istruzione.it" TargetMode="External"/><Relationship Id="rId3" Type="http://schemas.openxmlformats.org/officeDocument/2006/relationships/styles" Target="styles.xml"/><Relationship Id="rId7" Type="http://schemas.openxmlformats.org/officeDocument/2006/relationships/hyperlink" Target="http://www.isismagrinimarchetti.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dis01800d@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dPuzFV6OZc3DV6HDZNdFXbuQQ==">AMUW2mWERJg2LDOG+QY805lsMNiQnYs+EvMbkWjj/p4hsIKRyKuKUKE6/+8l6L83tiJ6NFtCb8cWS4ws8WNlNb14Oa8IjsMIikiiiDmc8Cd1ZbmFi5HIMy0=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2625</Words>
  <Characters>14968</Characters>
  <Application>Microsoft Office Word</Application>
  <DocSecurity>0</DocSecurity>
  <Lines>124</Lines>
  <Paragraphs>35</Paragraphs>
  <ScaleCrop>false</ScaleCrop>
  <Company/>
  <LinksUpToDate>false</LinksUpToDate>
  <CharactersWithSpaces>17558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emanuela buttazzoni</dc:creator>
  <cp:lastModifiedBy>Emanuela Buttazzoni</cp:lastModifiedBy>
  <cp:revision>2</cp:revision>
  <dcterms:created xsi:type="dcterms:W3CDTF">2024-08-20T09:17:00Z</dcterms:created>
  <dcterms:modified xsi:type="dcterms:W3CDTF">2024-08-20T09:17:00Z</dcterms:modified>
</cp:coreProperties>
</file>